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81" w:rsidRPr="00C02F81" w:rsidRDefault="004A4595" w:rsidP="00C02F81">
      <w:pPr>
        <w:ind w:firstLine="709"/>
        <w:jc w:val="right"/>
        <w:rPr>
          <w:color w:val="000000"/>
          <w:sz w:val="30"/>
          <w:szCs w:val="30"/>
        </w:rPr>
      </w:pPr>
      <w:r>
        <w:rPr>
          <w:color w:val="000000"/>
          <w:sz w:val="30"/>
          <w:szCs w:val="30"/>
        </w:rPr>
        <w:t xml:space="preserve">Приложение </w:t>
      </w:r>
    </w:p>
    <w:p w:rsidR="00382591" w:rsidRDefault="00382591" w:rsidP="004F7C2C">
      <w:pPr>
        <w:ind w:firstLine="709"/>
        <w:jc w:val="center"/>
        <w:rPr>
          <w:b/>
          <w:i/>
          <w:color w:val="000000"/>
          <w:sz w:val="36"/>
          <w:szCs w:val="36"/>
        </w:rPr>
      </w:pPr>
      <w:r w:rsidRPr="004F7C2C">
        <w:rPr>
          <w:b/>
          <w:i/>
          <w:color w:val="000000"/>
          <w:sz w:val="36"/>
          <w:szCs w:val="36"/>
        </w:rPr>
        <w:t>Результаты по достижению Цели устойчивого развития № 3 «Хорошее здоро</w:t>
      </w:r>
      <w:r>
        <w:rPr>
          <w:b/>
          <w:i/>
          <w:color w:val="000000"/>
          <w:sz w:val="36"/>
          <w:szCs w:val="36"/>
        </w:rPr>
        <w:t xml:space="preserve">вье и </w:t>
      </w:r>
    </w:p>
    <w:p w:rsidR="00382591" w:rsidRPr="004F7C2C" w:rsidRDefault="00382591" w:rsidP="004F7C2C">
      <w:pPr>
        <w:ind w:firstLine="709"/>
        <w:jc w:val="center"/>
        <w:rPr>
          <w:b/>
          <w:i/>
          <w:color w:val="000000"/>
          <w:sz w:val="36"/>
          <w:szCs w:val="36"/>
        </w:rPr>
      </w:pPr>
      <w:r>
        <w:rPr>
          <w:b/>
          <w:i/>
          <w:color w:val="000000"/>
          <w:sz w:val="36"/>
          <w:szCs w:val="36"/>
        </w:rPr>
        <w:t xml:space="preserve">благополучие для </w:t>
      </w:r>
      <w:r w:rsidRPr="004F7C2C">
        <w:rPr>
          <w:b/>
          <w:i/>
          <w:color w:val="000000"/>
          <w:sz w:val="36"/>
          <w:szCs w:val="36"/>
        </w:rPr>
        <w:t>всех» за 202</w:t>
      </w:r>
      <w:r>
        <w:rPr>
          <w:b/>
          <w:i/>
          <w:color w:val="000000"/>
          <w:sz w:val="36"/>
          <w:szCs w:val="36"/>
        </w:rPr>
        <w:t>4</w:t>
      </w:r>
      <w:r w:rsidRPr="004F7C2C">
        <w:rPr>
          <w:b/>
          <w:i/>
          <w:color w:val="000000"/>
          <w:sz w:val="36"/>
          <w:szCs w:val="36"/>
        </w:rPr>
        <w:t xml:space="preserve"> год.</w:t>
      </w:r>
    </w:p>
    <w:p w:rsidR="00382591" w:rsidRPr="004F7C2C" w:rsidRDefault="00382591" w:rsidP="004F7C2C">
      <w:pPr>
        <w:ind w:firstLine="709"/>
        <w:jc w:val="center"/>
        <w:rPr>
          <w:b/>
          <w:i/>
          <w:color w:val="000000"/>
          <w:sz w:val="36"/>
          <w:szCs w:val="36"/>
        </w:rPr>
      </w:pPr>
    </w:p>
    <w:p w:rsidR="00382591" w:rsidRPr="004A4595" w:rsidRDefault="00382591" w:rsidP="004A4595">
      <w:pPr>
        <w:ind w:firstLine="709"/>
        <w:jc w:val="both"/>
        <w:rPr>
          <w:sz w:val="30"/>
          <w:szCs w:val="30"/>
        </w:rPr>
      </w:pPr>
      <w:r w:rsidRPr="004A4595">
        <w:rPr>
          <w:sz w:val="30"/>
          <w:szCs w:val="30"/>
        </w:rPr>
        <w:t>Мероприятия по достижению Цели устойчивого развития № 3 «Хорошее здоровье и благополучие для всех», а также Цели устойчивого развития № 11 «Устойчивые города и населенные пункты» нашли свое отражение в Плане действий по профилактике болезней и формированию здоровог</w:t>
      </w:r>
      <w:r w:rsidR="00E32FC7" w:rsidRPr="004A4595">
        <w:rPr>
          <w:sz w:val="30"/>
          <w:szCs w:val="30"/>
        </w:rPr>
        <w:t>о образа жизни населения Каменец</w:t>
      </w:r>
      <w:r w:rsidRPr="004A4595">
        <w:rPr>
          <w:sz w:val="30"/>
          <w:szCs w:val="30"/>
        </w:rPr>
        <w:t>кого района для достижения Целей устойчивого развития, ут</w:t>
      </w:r>
      <w:r w:rsidR="00E32FC7" w:rsidRPr="004A4595">
        <w:rPr>
          <w:sz w:val="30"/>
          <w:szCs w:val="30"/>
        </w:rPr>
        <w:t>вержденного заместителем Каменецкого</w:t>
      </w:r>
      <w:r w:rsidRPr="004A4595">
        <w:rPr>
          <w:sz w:val="30"/>
          <w:szCs w:val="30"/>
        </w:rPr>
        <w:t xml:space="preserve"> райисполкома (далее – План).</w:t>
      </w:r>
    </w:p>
    <w:p w:rsidR="00382591" w:rsidRPr="004A4595" w:rsidRDefault="00382591" w:rsidP="004A4595">
      <w:pPr>
        <w:ind w:firstLine="709"/>
        <w:jc w:val="both"/>
        <w:rPr>
          <w:sz w:val="30"/>
          <w:szCs w:val="30"/>
        </w:rPr>
      </w:pPr>
      <w:r w:rsidRPr="004A4595">
        <w:rPr>
          <w:sz w:val="30"/>
          <w:szCs w:val="30"/>
        </w:rPr>
        <w:t>Первоочередным в выполнении вышеназванного Плана действий было межведомственное взаимодействие всех заинтересованных.</w:t>
      </w:r>
    </w:p>
    <w:p w:rsidR="00E32FC7" w:rsidRPr="004A4595" w:rsidRDefault="00382591" w:rsidP="004A4595">
      <w:pPr>
        <w:ind w:firstLine="708"/>
        <w:jc w:val="both"/>
        <w:rPr>
          <w:sz w:val="30"/>
          <w:szCs w:val="30"/>
        </w:rPr>
      </w:pPr>
      <w:r w:rsidRPr="004A4595">
        <w:rPr>
          <w:sz w:val="30"/>
          <w:szCs w:val="30"/>
        </w:rPr>
        <w:t>Важным элементом в достижении Цели № 11 «Устойчивые города и населенные пункты» является создание ассоциации «Здоровые города и поселки». В рамках целенаправленного развития понимания о здоровье общества и его значении в р</w:t>
      </w:r>
      <w:r w:rsidR="00E32FC7" w:rsidRPr="004A4595">
        <w:rPr>
          <w:sz w:val="30"/>
          <w:szCs w:val="30"/>
        </w:rPr>
        <w:t>азвитии города и жителей Каменецкого</w:t>
      </w:r>
      <w:r w:rsidRPr="004A4595">
        <w:rPr>
          <w:sz w:val="30"/>
          <w:szCs w:val="30"/>
        </w:rPr>
        <w:t xml:space="preserve"> района </w:t>
      </w:r>
      <w:r w:rsidR="00E32FC7" w:rsidRPr="004A4595">
        <w:rPr>
          <w:sz w:val="30"/>
          <w:szCs w:val="30"/>
        </w:rPr>
        <w:t>утверждены решением Каменецкого райисполкома Проекты:</w:t>
      </w:r>
    </w:p>
    <w:p w:rsidR="00E32FC7" w:rsidRPr="004A4595" w:rsidRDefault="00E32FC7" w:rsidP="004A4595">
      <w:pPr>
        <w:ind w:firstLine="708"/>
        <w:jc w:val="both"/>
        <w:rPr>
          <w:sz w:val="30"/>
          <w:szCs w:val="30"/>
        </w:rPr>
      </w:pPr>
      <w:r w:rsidRPr="004A4595">
        <w:rPr>
          <w:sz w:val="30"/>
          <w:szCs w:val="30"/>
        </w:rPr>
        <w:t xml:space="preserve">- </w:t>
      </w:r>
      <w:r w:rsidR="00382591" w:rsidRPr="004A4595">
        <w:rPr>
          <w:sz w:val="30"/>
          <w:szCs w:val="30"/>
        </w:rPr>
        <w:t>решение</w:t>
      </w:r>
      <w:r w:rsidRPr="004A4595">
        <w:rPr>
          <w:sz w:val="30"/>
          <w:szCs w:val="30"/>
        </w:rPr>
        <w:t>м Каменецкого</w:t>
      </w:r>
      <w:r w:rsidR="00382591" w:rsidRPr="004A4595">
        <w:rPr>
          <w:sz w:val="30"/>
          <w:szCs w:val="30"/>
        </w:rPr>
        <w:t xml:space="preserve"> райисполкома </w:t>
      </w:r>
      <w:r w:rsidRPr="004A4595">
        <w:rPr>
          <w:sz w:val="30"/>
          <w:szCs w:val="30"/>
        </w:rPr>
        <w:t xml:space="preserve">от 10 декабря 2019 года №1765 был утвержден проект «Беловежский – здоровый </w:t>
      </w:r>
      <w:proofErr w:type="spellStart"/>
      <w:r w:rsidRPr="004A4595">
        <w:rPr>
          <w:sz w:val="30"/>
          <w:szCs w:val="30"/>
        </w:rPr>
        <w:t>агрогородок</w:t>
      </w:r>
      <w:proofErr w:type="spellEnd"/>
      <w:r w:rsidRPr="004A4595">
        <w:rPr>
          <w:sz w:val="30"/>
          <w:szCs w:val="30"/>
        </w:rPr>
        <w:t xml:space="preserve">», период действия которого до 2025 года; </w:t>
      </w:r>
    </w:p>
    <w:p w:rsidR="00E32FC7" w:rsidRPr="004A4595" w:rsidRDefault="00E32FC7" w:rsidP="004A4595">
      <w:pPr>
        <w:ind w:firstLine="708"/>
        <w:jc w:val="both"/>
        <w:rPr>
          <w:sz w:val="30"/>
          <w:szCs w:val="30"/>
        </w:rPr>
      </w:pPr>
      <w:r w:rsidRPr="004A4595">
        <w:rPr>
          <w:sz w:val="30"/>
          <w:szCs w:val="30"/>
        </w:rPr>
        <w:t xml:space="preserve">- решением Каменецкого райисполкома от 03 июня 2023 г. № 955 был утвержден проект «Каменец – здоровый город», период действия которого до 2028 года; </w:t>
      </w:r>
    </w:p>
    <w:p w:rsidR="007E4A86" w:rsidRPr="004A4595" w:rsidRDefault="00E32FC7" w:rsidP="004A4595">
      <w:pPr>
        <w:ind w:firstLine="708"/>
        <w:jc w:val="both"/>
        <w:rPr>
          <w:sz w:val="30"/>
          <w:szCs w:val="30"/>
        </w:rPr>
      </w:pPr>
      <w:r w:rsidRPr="004A4595">
        <w:rPr>
          <w:sz w:val="30"/>
          <w:szCs w:val="30"/>
        </w:rPr>
        <w:t>- решением Каменецкого райисполкома от 17 декабря 2024г</w:t>
      </w:r>
      <w:r w:rsidR="007E4A86" w:rsidRPr="004A4595">
        <w:rPr>
          <w:sz w:val="30"/>
          <w:szCs w:val="30"/>
        </w:rPr>
        <w:t>. № 2464 был утвержден проект «Высокое – здоровый город», период действия которого с 2025 до 2029 года.</w:t>
      </w:r>
    </w:p>
    <w:p w:rsidR="00382591" w:rsidRPr="004A4595" w:rsidRDefault="00382591" w:rsidP="004A4595">
      <w:pPr>
        <w:ind w:firstLine="708"/>
        <w:jc w:val="both"/>
        <w:rPr>
          <w:sz w:val="30"/>
          <w:szCs w:val="30"/>
        </w:rPr>
      </w:pPr>
      <w:r w:rsidRPr="004A4595">
        <w:rPr>
          <w:sz w:val="30"/>
          <w:szCs w:val="30"/>
        </w:rPr>
        <w:t>Стратегия нацелена на 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 увеличение продолжительности и повышение качества жизни, улучшение демографической ситуации.</w:t>
      </w:r>
    </w:p>
    <w:p w:rsidR="00382591" w:rsidRPr="004A4595" w:rsidRDefault="00382591" w:rsidP="004A4595">
      <w:pPr>
        <w:ind w:firstLine="709"/>
        <w:jc w:val="both"/>
        <w:rPr>
          <w:sz w:val="30"/>
          <w:szCs w:val="30"/>
        </w:rPr>
      </w:pPr>
      <w:r w:rsidRPr="004A4595">
        <w:rPr>
          <w:sz w:val="30"/>
          <w:szCs w:val="30"/>
        </w:rPr>
        <w:t>Анализ выполнения показателей ЦУР:</w:t>
      </w:r>
    </w:p>
    <w:p w:rsidR="00C02F81" w:rsidRPr="004A4595" w:rsidRDefault="00C02F81" w:rsidP="004A4595">
      <w:pPr>
        <w:ind w:firstLine="708"/>
        <w:jc w:val="both"/>
        <w:rPr>
          <w:b/>
          <w:sz w:val="30"/>
          <w:szCs w:val="30"/>
        </w:rPr>
      </w:pPr>
      <w:r w:rsidRPr="004A4595">
        <w:rPr>
          <w:b/>
          <w:sz w:val="30"/>
          <w:szCs w:val="30"/>
        </w:rPr>
        <w:t>3.3.1</w:t>
      </w:r>
      <w:r w:rsidRPr="004A4595">
        <w:rPr>
          <w:b/>
          <w:sz w:val="30"/>
          <w:szCs w:val="30"/>
        </w:rPr>
        <w:tab/>
        <w:t>Число новых заражений ВИЧ на 1000 неинфицированных в разбивке по полу, возрасту и принадлежности к основным группам населения.</w:t>
      </w:r>
    </w:p>
    <w:p w:rsidR="004A4595" w:rsidRDefault="00C02F81" w:rsidP="004A4595">
      <w:pPr>
        <w:ind w:firstLine="708"/>
        <w:jc w:val="both"/>
        <w:rPr>
          <w:sz w:val="30"/>
          <w:szCs w:val="30"/>
        </w:rPr>
      </w:pPr>
      <w:r w:rsidRPr="004A4595">
        <w:rPr>
          <w:sz w:val="30"/>
          <w:szCs w:val="30"/>
        </w:rPr>
        <w:t>ВИЧ-инфекция относится к категории антропонозов с контактным (половым), парентеральным и вертикальным (</w:t>
      </w:r>
      <w:proofErr w:type="spellStart"/>
      <w:r w:rsidRPr="004A4595">
        <w:rPr>
          <w:sz w:val="30"/>
          <w:szCs w:val="30"/>
        </w:rPr>
        <w:t>трансплацентарным</w:t>
      </w:r>
      <w:proofErr w:type="spellEnd"/>
      <w:r w:rsidRPr="004A4595">
        <w:rPr>
          <w:sz w:val="30"/>
          <w:szCs w:val="30"/>
        </w:rPr>
        <w:t>) механизмом передачи возбудителя. Источником инфекции является инфицированный человек в любой стадии ВИЧ-инфекции. Наибольшие концентрации вируса содержатся в крови, сперме, секретах женских половых органов, спинномозговой жидкости. Далее, по убывающей степени концентрации, ВИЧ содержится в околоплодных водах, женском молоке, в слюне, поте, слезах, экскрементах, моче.</w:t>
      </w:r>
    </w:p>
    <w:p w:rsidR="004A4595" w:rsidRDefault="00C02F81" w:rsidP="004A4595">
      <w:pPr>
        <w:ind w:firstLine="708"/>
        <w:jc w:val="both"/>
        <w:rPr>
          <w:sz w:val="30"/>
          <w:szCs w:val="30"/>
        </w:rPr>
      </w:pPr>
      <w:r w:rsidRPr="004A4595">
        <w:rPr>
          <w:sz w:val="30"/>
          <w:szCs w:val="30"/>
        </w:rPr>
        <w:lastRenderedPageBreak/>
        <w:t xml:space="preserve">Кумулятивное число ВИЧ-инфицированных в </w:t>
      </w:r>
      <w:proofErr w:type="spellStart"/>
      <w:r w:rsidRPr="004A4595">
        <w:rPr>
          <w:sz w:val="30"/>
          <w:szCs w:val="30"/>
        </w:rPr>
        <w:t>Каменецком</w:t>
      </w:r>
      <w:proofErr w:type="spellEnd"/>
      <w:r w:rsidRPr="004A4595">
        <w:rPr>
          <w:sz w:val="30"/>
          <w:szCs w:val="30"/>
        </w:rPr>
        <w:t xml:space="preserve"> районе (за весь период наблюдения с 1987 г. по 01.12.2024) составляет 31 случай, из них 12 ВИЧ-инфицированных умерли, 3 – выбыли за пределы РБ. Число людей, живущих с ВИЧ – 16. В 2024 г. зарегистрировано 3 новых случаев ВИЧ-инфекции. А так же зарегистрировано было новых случаев в 2020 г. - 3, в 2021 году -0, в 2022 г -2, в 2023 году – 1.</w:t>
      </w:r>
    </w:p>
    <w:p w:rsidR="004A4595" w:rsidRDefault="00C02F81" w:rsidP="004A4595">
      <w:pPr>
        <w:ind w:firstLine="708"/>
        <w:jc w:val="both"/>
        <w:rPr>
          <w:sz w:val="30"/>
          <w:szCs w:val="30"/>
        </w:rPr>
      </w:pPr>
      <w:r w:rsidRPr="004A4595">
        <w:rPr>
          <w:sz w:val="30"/>
          <w:szCs w:val="30"/>
        </w:rPr>
        <w:t>Основ</w:t>
      </w:r>
      <w:r w:rsidR="00B673F7" w:rsidRPr="004A4595">
        <w:rPr>
          <w:sz w:val="30"/>
          <w:szCs w:val="30"/>
        </w:rPr>
        <w:t xml:space="preserve">ной путь передачи ВИЧ-инфекции </w:t>
      </w:r>
      <w:r w:rsidRPr="004A4595">
        <w:rPr>
          <w:sz w:val="30"/>
          <w:szCs w:val="30"/>
        </w:rPr>
        <w:t>– половой, реализующийся при незащищенных гетеросексуальных контактах.</w:t>
      </w:r>
    </w:p>
    <w:p w:rsidR="004A4595" w:rsidRDefault="00C02F81" w:rsidP="004A4595">
      <w:pPr>
        <w:ind w:firstLine="708"/>
        <w:jc w:val="both"/>
        <w:rPr>
          <w:sz w:val="30"/>
          <w:szCs w:val="30"/>
        </w:rPr>
      </w:pPr>
      <w:r w:rsidRPr="004A4595">
        <w:rPr>
          <w:sz w:val="30"/>
          <w:szCs w:val="30"/>
        </w:rPr>
        <w:t>В целом по району удельный вес женщин из общего числа ВИЧ – инфицированных составляет 37 % (7 человек), мужчин 63 % (12 человек).</w:t>
      </w:r>
    </w:p>
    <w:p w:rsidR="004A4595" w:rsidRDefault="00C02F81" w:rsidP="004A4595">
      <w:pPr>
        <w:ind w:firstLine="708"/>
        <w:jc w:val="both"/>
        <w:rPr>
          <w:sz w:val="30"/>
          <w:szCs w:val="30"/>
        </w:rPr>
      </w:pPr>
      <w:r w:rsidRPr="004A4595">
        <w:rPr>
          <w:sz w:val="30"/>
          <w:szCs w:val="30"/>
        </w:rPr>
        <w:t>В рамках достижения цели «95-95-95» (95% людей, живущих с ВИЧ (далее ЛЖВ) должны узнать свой статус, 95% ЛЖВ должны получать АРТ, 95% ЛЖВ, получающих АРТ должны иметь неопределяемую вирусную нагрузку) в районе организована работа по обеспечению сплошного охвата АРВ-терапией всех выявленн</w:t>
      </w:r>
      <w:r w:rsidR="004A4595">
        <w:rPr>
          <w:sz w:val="30"/>
          <w:szCs w:val="30"/>
        </w:rPr>
        <w:t>ых ВИЧ-инфицированных пациентов:</w:t>
      </w:r>
    </w:p>
    <w:p w:rsidR="004A4595" w:rsidRDefault="00C02F81" w:rsidP="004A4595">
      <w:pPr>
        <w:ind w:firstLine="708"/>
        <w:jc w:val="both"/>
        <w:rPr>
          <w:sz w:val="30"/>
          <w:szCs w:val="30"/>
        </w:rPr>
      </w:pPr>
      <w:r w:rsidRPr="004A4595">
        <w:rPr>
          <w:sz w:val="30"/>
          <w:szCs w:val="30"/>
        </w:rPr>
        <w:t xml:space="preserve">Процент людей, живущих с ВИЧ, знающих свой ВИЧ статус, от оценочного количества </w:t>
      </w:r>
      <w:r w:rsidRPr="004A4595">
        <w:rPr>
          <w:b/>
          <w:sz w:val="30"/>
          <w:szCs w:val="30"/>
        </w:rPr>
        <w:t>(первые 95)</w:t>
      </w:r>
      <w:r w:rsidRPr="004A4595">
        <w:rPr>
          <w:sz w:val="30"/>
          <w:szCs w:val="30"/>
        </w:rPr>
        <w:t xml:space="preserve"> составил </w:t>
      </w:r>
      <w:r w:rsidR="004A4595">
        <w:rPr>
          <w:sz w:val="30"/>
          <w:szCs w:val="30"/>
        </w:rPr>
        <w:t>90,5%, (план на 2024 г. – 94%);</w:t>
      </w:r>
    </w:p>
    <w:p w:rsidR="004A4595" w:rsidRDefault="00C02F81" w:rsidP="004A4595">
      <w:pPr>
        <w:ind w:firstLine="708"/>
        <w:jc w:val="both"/>
        <w:rPr>
          <w:sz w:val="30"/>
          <w:szCs w:val="30"/>
        </w:rPr>
      </w:pPr>
      <w:r w:rsidRPr="004A4595">
        <w:rPr>
          <w:sz w:val="30"/>
          <w:szCs w:val="30"/>
        </w:rPr>
        <w:t xml:space="preserve">Процент, людей, живущих с ВИЧ, получающих антиретровирусную терапию </w:t>
      </w:r>
      <w:r w:rsidRPr="004A4595">
        <w:rPr>
          <w:b/>
          <w:sz w:val="30"/>
          <w:szCs w:val="30"/>
        </w:rPr>
        <w:t>(вторые 95)</w:t>
      </w:r>
      <w:r w:rsidRPr="004A4595">
        <w:rPr>
          <w:sz w:val="30"/>
          <w:szCs w:val="30"/>
        </w:rPr>
        <w:t>, составил 87,5%, (план на 2024 г. – 94%);</w:t>
      </w:r>
    </w:p>
    <w:p w:rsidR="004A4595" w:rsidRDefault="00C02F81" w:rsidP="004A4595">
      <w:pPr>
        <w:ind w:firstLine="708"/>
        <w:jc w:val="both"/>
        <w:rPr>
          <w:sz w:val="30"/>
          <w:szCs w:val="30"/>
        </w:rPr>
      </w:pPr>
      <w:r w:rsidRPr="004A4595">
        <w:rPr>
          <w:sz w:val="30"/>
          <w:szCs w:val="30"/>
        </w:rPr>
        <w:t xml:space="preserve">Процент людей, живущих с ВИЧ, с неопределяемой вирусной нагрузкой, от количества лиц, получающих АРТ </w:t>
      </w:r>
      <w:r w:rsidRPr="004A4595">
        <w:rPr>
          <w:b/>
          <w:sz w:val="30"/>
          <w:szCs w:val="30"/>
        </w:rPr>
        <w:t xml:space="preserve">(третьи 95) </w:t>
      </w:r>
      <w:r w:rsidRPr="004A4595">
        <w:rPr>
          <w:sz w:val="30"/>
          <w:szCs w:val="30"/>
        </w:rPr>
        <w:t>– 50% (план на 2024 г. – 94%).</w:t>
      </w:r>
    </w:p>
    <w:p w:rsidR="004A4595" w:rsidRDefault="00C02F81" w:rsidP="004A4595">
      <w:pPr>
        <w:ind w:firstLine="708"/>
        <w:jc w:val="both"/>
        <w:rPr>
          <w:sz w:val="30"/>
          <w:szCs w:val="30"/>
        </w:rPr>
      </w:pPr>
      <w:r w:rsidRPr="004A4595">
        <w:rPr>
          <w:sz w:val="30"/>
          <w:szCs w:val="30"/>
        </w:rPr>
        <w:t xml:space="preserve">Появляется много новых способов расширения доступа к тестированию и самотестированию на ВИЧ. В настоящее время в аптечной сети в районном центре имеются наборы «Мульти-тест» для проведения самостоятельного экспресс-анализа на ВИЧ по слюне. </w:t>
      </w:r>
    </w:p>
    <w:p w:rsidR="00C02F81" w:rsidRPr="004A4595" w:rsidRDefault="00C02F81" w:rsidP="004A4595">
      <w:pPr>
        <w:ind w:firstLine="708"/>
        <w:jc w:val="both"/>
        <w:rPr>
          <w:sz w:val="30"/>
          <w:szCs w:val="30"/>
        </w:rPr>
      </w:pPr>
      <w:r w:rsidRPr="004A4595">
        <w:rPr>
          <w:sz w:val="30"/>
          <w:szCs w:val="30"/>
        </w:rPr>
        <w:t xml:space="preserve">Основой первичной профилактики должно стать осознание каждым человеком личной ответственности за свою жизнь и здоровье, высокая нравственная культура, отказ от вредных привычек. Безопасное и ответственное поведение каждого человека поможет </w:t>
      </w:r>
      <w:r w:rsidR="004A4595">
        <w:rPr>
          <w:sz w:val="30"/>
          <w:szCs w:val="30"/>
        </w:rPr>
        <w:t>ему сохранить здоровье.</w:t>
      </w:r>
    </w:p>
    <w:p w:rsidR="00C02F81" w:rsidRPr="004A4595" w:rsidRDefault="00C02F81" w:rsidP="004A4595">
      <w:pPr>
        <w:ind w:firstLine="708"/>
        <w:jc w:val="both"/>
        <w:rPr>
          <w:b/>
          <w:sz w:val="30"/>
          <w:szCs w:val="30"/>
        </w:rPr>
      </w:pPr>
      <w:r w:rsidRPr="004A4595">
        <w:rPr>
          <w:b/>
          <w:sz w:val="30"/>
          <w:szCs w:val="30"/>
        </w:rPr>
        <w:t>3.3.2 Заболеваемость туберкулезом на 100000 человек.</w:t>
      </w:r>
    </w:p>
    <w:p w:rsidR="00C02F81" w:rsidRPr="004A4595" w:rsidRDefault="00C02F81" w:rsidP="004A4595">
      <w:pPr>
        <w:ind w:firstLine="708"/>
        <w:jc w:val="both"/>
        <w:rPr>
          <w:sz w:val="30"/>
          <w:szCs w:val="30"/>
        </w:rPr>
      </w:pPr>
      <w:r w:rsidRPr="004A4595">
        <w:rPr>
          <w:sz w:val="30"/>
          <w:szCs w:val="30"/>
        </w:rPr>
        <w:t>В 2024 году отмечается снижение заболеваемости туберкулезом</w:t>
      </w:r>
      <w:r w:rsidR="004A4595">
        <w:rPr>
          <w:sz w:val="30"/>
          <w:szCs w:val="30"/>
        </w:rPr>
        <w:t xml:space="preserve"> в сравнении с </w:t>
      </w:r>
      <w:r w:rsidRPr="004A4595">
        <w:rPr>
          <w:sz w:val="30"/>
          <w:szCs w:val="30"/>
        </w:rPr>
        <w:t>2023 годом на 32 %.</w:t>
      </w:r>
    </w:p>
    <w:p w:rsidR="00C02F81" w:rsidRPr="004A4595" w:rsidRDefault="00C02F81" w:rsidP="004A4595">
      <w:pPr>
        <w:ind w:firstLine="708"/>
        <w:jc w:val="both"/>
        <w:rPr>
          <w:sz w:val="30"/>
          <w:szCs w:val="30"/>
        </w:rPr>
      </w:pPr>
      <w:r w:rsidRPr="004A4595">
        <w:rPr>
          <w:sz w:val="30"/>
          <w:szCs w:val="30"/>
        </w:rPr>
        <w:t xml:space="preserve">В 2024г. зарегистрировано 4 случая заболевания, (показатель заболеваемости составил 12.71 сл. на 100 тыс. населения) при областном показателе 8,81. В 2023 г. соответственно 6 случаев (18,73 сл. на 100 тыс. населения). </w:t>
      </w:r>
    </w:p>
    <w:p w:rsidR="00C02F81" w:rsidRPr="004A4595" w:rsidRDefault="00C02F81" w:rsidP="004A4595">
      <w:pPr>
        <w:ind w:firstLine="708"/>
        <w:jc w:val="both"/>
        <w:rPr>
          <w:sz w:val="30"/>
          <w:szCs w:val="30"/>
        </w:rPr>
      </w:pPr>
      <w:r w:rsidRPr="004A4595">
        <w:rPr>
          <w:sz w:val="30"/>
          <w:szCs w:val="30"/>
        </w:rPr>
        <w:t>Все 4 случая выявлены при обращении за медицинской помощью, при наличии клинических признаков. Болели лица пенсионного возраста: 1 сл. у жителя города и 3 сл. - сельской местности.</w:t>
      </w:r>
    </w:p>
    <w:p w:rsidR="00C02F81" w:rsidRPr="004A4595" w:rsidRDefault="00C02F81" w:rsidP="004A4595">
      <w:pPr>
        <w:jc w:val="both"/>
        <w:rPr>
          <w:sz w:val="30"/>
          <w:szCs w:val="30"/>
        </w:rPr>
      </w:pPr>
      <w:r w:rsidRPr="004A4595">
        <w:rPr>
          <w:sz w:val="30"/>
          <w:szCs w:val="30"/>
        </w:rPr>
        <w:t xml:space="preserve"> </w:t>
      </w:r>
      <w:r w:rsidRPr="004A4595">
        <w:rPr>
          <w:sz w:val="30"/>
          <w:szCs w:val="30"/>
        </w:rPr>
        <w:tab/>
        <w:t>Заболеваемость туберкулезом среди детей и подростков в 2024 году не регистрировалась.</w:t>
      </w:r>
    </w:p>
    <w:p w:rsidR="00C02F81" w:rsidRPr="004A4595" w:rsidRDefault="00C02F81" w:rsidP="004A4595">
      <w:pPr>
        <w:ind w:firstLine="708"/>
        <w:jc w:val="both"/>
        <w:rPr>
          <w:sz w:val="30"/>
          <w:szCs w:val="30"/>
        </w:rPr>
      </w:pPr>
      <w:r w:rsidRPr="004A4595">
        <w:rPr>
          <w:sz w:val="30"/>
          <w:szCs w:val="30"/>
        </w:rPr>
        <w:t xml:space="preserve">В 2024 году в районе обследовано </w:t>
      </w:r>
      <w:proofErr w:type="spellStart"/>
      <w:r w:rsidRPr="004A4595">
        <w:rPr>
          <w:sz w:val="30"/>
          <w:szCs w:val="30"/>
        </w:rPr>
        <w:t>рентгенфлюорографически</w:t>
      </w:r>
      <w:proofErr w:type="spellEnd"/>
      <w:r w:rsidRPr="004A4595">
        <w:rPr>
          <w:sz w:val="30"/>
          <w:szCs w:val="30"/>
        </w:rPr>
        <w:t xml:space="preserve"> 98,4 % населения от подлежащих, в </w:t>
      </w:r>
      <w:proofErr w:type="spellStart"/>
      <w:r w:rsidRPr="004A4595">
        <w:rPr>
          <w:sz w:val="30"/>
          <w:szCs w:val="30"/>
        </w:rPr>
        <w:t>т</w:t>
      </w:r>
      <w:r w:rsidR="004A4595">
        <w:rPr>
          <w:sz w:val="30"/>
          <w:szCs w:val="30"/>
        </w:rPr>
        <w:t>.ч</w:t>
      </w:r>
      <w:proofErr w:type="spellEnd"/>
      <w:r w:rsidR="004A4595">
        <w:rPr>
          <w:sz w:val="30"/>
          <w:szCs w:val="30"/>
        </w:rPr>
        <w:t xml:space="preserve">. «обязательные контингенты» </w:t>
      </w:r>
      <w:r w:rsidRPr="004A4595">
        <w:rPr>
          <w:sz w:val="30"/>
          <w:szCs w:val="30"/>
        </w:rPr>
        <w:t xml:space="preserve">обследованы 100 %, заболевших туберкулезом из числа «обязательных контингентов» не </w:t>
      </w:r>
      <w:r w:rsidRPr="004A4595">
        <w:rPr>
          <w:sz w:val="30"/>
          <w:szCs w:val="30"/>
        </w:rPr>
        <w:lastRenderedPageBreak/>
        <w:t xml:space="preserve">выявлено, «угрожаемая группа» обследована на 92,3 %, </w:t>
      </w:r>
    </w:p>
    <w:p w:rsidR="00C02F81" w:rsidRPr="004A4595" w:rsidRDefault="00C02F81" w:rsidP="004A4595">
      <w:pPr>
        <w:ind w:firstLine="708"/>
        <w:jc w:val="both"/>
        <w:rPr>
          <w:sz w:val="30"/>
          <w:szCs w:val="30"/>
        </w:rPr>
      </w:pPr>
      <w:r w:rsidRPr="004A4595">
        <w:rPr>
          <w:sz w:val="30"/>
          <w:szCs w:val="30"/>
        </w:rPr>
        <w:t xml:space="preserve">Случаи смерти не регистрировались. </w:t>
      </w:r>
    </w:p>
    <w:p w:rsidR="00C02F81" w:rsidRPr="004A4595" w:rsidRDefault="00C02F81" w:rsidP="004A4595">
      <w:pPr>
        <w:ind w:firstLine="708"/>
        <w:jc w:val="both"/>
        <w:rPr>
          <w:sz w:val="30"/>
          <w:szCs w:val="30"/>
        </w:rPr>
      </w:pPr>
      <w:r w:rsidRPr="004A4595">
        <w:rPr>
          <w:sz w:val="30"/>
          <w:szCs w:val="30"/>
        </w:rPr>
        <w:t xml:space="preserve">Охват детей и подростков иммунодиагностикой туберкулёза составил – 97%. </w:t>
      </w:r>
    </w:p>
    <w:p w:rsidR="00C02F81" w:rsidRPr="004A4595" w:rsidRDefault="00C02F81" w:rsidP="004A4595">
      <w:pPr>
        <w:tabs>
          <w:tab w:val="left" w:pos="720"/>
        </w:tabs>
        <w:jc w:val="both"/>
        <w:rPr>
          <w:b/>
          <w:sz w:val="30"/>
          <w:szCs w:val="30"/>
        </w:rPr>
      </w:pPr>
      <w:r w:rsidRPr="004A4595">
        <w:rPr>
          <w:sz w:val="30"/>
          <w:szCs w:val="30"/>
        </w:rPr>
        <w:tab/>
      </w:r>
      <w:r w:rsidRPr="004A4595">
        <w:rPr>
          <w:b/>
          <w:sz w:val="30"/>
          <w:szCs w:val="30"/>
        </w:rPr>
        <w:t>3.3.3. Заболеваемость малярией на 1 тыс. населения.</w:t>
      </w:r>
    </w:p>
    <w:p w:rsidR="00C02F81" w:rsidRPr="004A4595" w:rsidRDefault="00C02F81" w:rsidP="004A4595">
      <w:pPr>
        <w:tabs>
          <w:tab w:val="left" w:pos="720"/>
        </w:tabs>
        <w:jc w:val="both"/>
        <w:rPr>
          <w:sz w:val="30"/>
          <w:szCs w:val="30"/>
        </w:rPr>
      </w:pPr>
      <w:r w:rsidRPr="004A4595">
        <w:rPr>
          <w:sz w:val="30"/>
          <w:szCs w:val="30"/>
        </w:rPr>
        <w:tab/>
        <w:t xml:space="preserve">В 2024 году, как и в предыдущие годы, случаи заболевания малярией в </w:t>
      </w:r>
      <w:proofErr w:type="spellStart"/>
      <w:r w:rsidRPr="004A4595">
        <w:rPr>
          <w:sz w:val="30"/>
          <w:szCs w:val="30"/>
        </w:rPr>
        <w:t>Каменецком</w:t>
      </w:r>
      <w:proofErr w:type="spellEnd"/>
      <w:r w:rsidRPr="004A4595">
        <w:rPr>
          <w:sz w:val="30"/>
          <w:szCs w:val="30"/>
        </w:rPr>
        <w:t xml:space="preserve"> районе не регистрировались. </w:t>
      </w:r>
    </w:p>
    <w:p w:rsidR="00C02F81" w:rsidRPr="004A4595" w:rsidRDefault="00C02F81" w:rsidP="004A4595">
      <w:pPr>
        <w:tabs>
          <w:tab w:val="left" w:pos="720"/>
        </w:tabs>
        <w:jc w:val="both"/>
        <w:rPr>
          <w:sz w:val="30"/>
          <w:szCs w:val="30"/>
        </w:rPr>
      </w:pPr>
      <w:r w:rsidRPr="004A4595">
        <w:rPr>
          <w:sz w:val="30"/>
          <w:szCs w:val="30"/>
        </w:rPr>
        <w:tab/>
        <w:t>По результатам энтомологических наблюдений, учетов численности малярийных комаров обслуживаемая территория отнесена к зоне с умеренным риском передачи малярии.</w:t>
      </w:r>
    </w:p>
    <w:p w:rsidR="00C02F81" w:rsidRPr="004A4595" w:rsidRDefault="00C02F81" w:rsidP="004A4595">
      <w:pPr>
        <w:tabs>
          <w:tab w:val="left" w:pos="720"/>
        </w:tabs>
        <w:jc w:val="both"/>
        <w:rPr>
          <w:sz w:val="30"/>
          <w:szCs w:val="30"/>
        </w:rPr>
      </w:pPr>
      <w:r w:rsidRPr="004A4595">
        <w:rPr>
          <w:sz w:val="30"/>
          <w:szCs w:val="30"/>
        </w:rPr>
        <w:tab/>
        <w:t xml:space="preserve">Все это достигнуто благодаря слаженной работе </w:t>
      </w:r>
      <w:proofErr w:type="spellStart"/>
      <w:r w:rsidRPr="004A4595">
        <w:rPr>
          <w:sz w:val="30"/>
          <w:szCs w:val="30"/>
        </w:rPr>
        <w:t>ЦГиЭ</w:t>
      </w:r>
      <w:proofErr w:type="spellEnd"/>
      <w:r w:rsidRPr="004A4595">
        <w:rPr>
          <w:sz w:val="30"/>
          <w:szCs w:val="30"/>
        </w:rPr>
        <w:t>, лечебной сети и заинтересованных ведомств:</w:t>
      </w:r>
    </w:p>
    <w:p w:rsidR="00C02F81" w:rsidRPr="004A4595" w:rsidRDefault="00C02F81" w:rsidP="004A4595">
      <w:pPr>
        <w:tabs>
          <w:tab w:val="left" w:pos="720"/>
        </w:tabs>
        <w:jc w:val="both"/>
        <w:rPr>
          <w:sz w:val="30"/>
          <w:szCs w:val="30"/>
        </w:rPr>
      </w:pPr>
      <w:r w:rsidRPr="004A4595">
        <w:rPr>
          <w:sz w:val="30"/>
          <w:szCs w:val="30"/>
        </w:rPr>
        <w:tab/>
        <w:t xml:space="preserve">1) аптечные сети обеспечены </w:t>
      </w:r>
      <w:proofErr w:type="spellStart"/>
      <w:r w:rsidRPr="004A4595">
        <w:rPr>
          <w:sz w:val="30"/>
          <w:szCs w:val="30"/>
        </w:rPr>
        <w:t>доксициклином</w:t>
      </w:r>
      <w:proofErr w:type="spellEnd"/>
      <w:r w:rsidRPr="004A4595">
        <w:rPr>
          <w:sz w:val="30"/>
          <w:szCs w:val="30"/>
        </w:rPr>
        <w:t xml:space="preserve"> для организации </w:t>
      </w:r>
      <w:proofErr w:type="spellStart"/>
      <w:r w:rsidRPr="004A4595">
        <w:rPr>
          <w:sz w:val="30"/>
          <w:szCs w:val="30"/>
        </w:rPr>
        <w:t>химиопрофилактики</w:t>
      </w:r>
      <w:proofErr w:type="spellEnd"/>
      <w:r w:rsidRPr="004A4595">
        <w:rPr>
          <w:sz w:val="30"/>
          <w:szCs w:val="30"/>
        </w:rPr>
        <w:t xml:space="preserve"> малярии в отношении выезжающих за рубеж в эндемичные по малярии страны;</w:t>
      </w:r>
    </w:p>
    <w:p w:rsidR="00DB5DC0" w:rsidRDefault="00C02F81" w:rsidP="00DB5DC0">
      <w:pPr>
        <w:tabs>
          <w:tab w:val="left" w:pos="720"/>
        </w:tabs>
        <w:jc w:val="both"/>
        <w:rPr>
          <w:sz w:val="30"/>
          <w:szCs w:val="30"/>
        </w:rPr>
      </w:pPr>
      <w:r w:rsidRPr="004A4595">
        <w:rPr>
          <w:sz w:val="30"/>
          <w:szCs w:val="30"/>
        </w:rPr>
        <w:tab/>
        <w:t xml:space="preserve">2) </w:t>
      </w:r>
      <w:proofErr w:type="spellStart"/>
      <w:r w:rsidRPr="004A4595">
        <w:rPr>
          <w:sz w:val="30"/>
          <w:szCs w:val="30"/>
        </w:rPr>
        <w:t>Каменецким</w:t>
      </w:r>
      <w:proofErr w:type="spellEnd"/>
      <w:r w:rsidRPr="004A4595">
        <w:rPr>
          <w:sz w:val="30"/>
          <w:szCs w:val="30"/>
        </w:rPr>
        <w:t xml:space="preserve"> районным </w:t>
      </w:r>
      <w:proofErr w:type="spellStart"/>
      <w:r w:rsidRPr="004A4595">
        <w:rPr>
          <w:sz w:val="30"/>
          <w:szCs w:val="30"/>
        </w:rPr>
        <w:t>ЦГиЭ</w:t>
      </w:r>
      <w:proofErr w:type="spellEnd"/>
      <w:r w:rsidRPr="004A4595">
        <w:rPr>
          <w:sz w:val="30"/>
          <w:szCs w:val="30"/>
        </w:rPr>
        <w:t xml:space="preserve"> актуальная информация, направляемая из вышестоящей организации (Брестский областной </w:t>
      </w:r>
      <w:proofErr w:type="spellStart"/>
      <w:r w:rsidRPr="004A4595">
        <w:rPr>
          <w:sz w:val="30"/>
          <w:szCs w:val="30"/>
        </w:rPr>
        <w:t>ЦГЭиОЗ</w:t>
      </w:r>
      <w:proofErr w:type="spellEnd"/>
      <w:r w:rsidRPr="004A4595">
        <w:rPr>
          <w:sz w:val="30"/>
          <w:szCs w:val="30"/>
        </w:rPr>
        <w:t>) размещается на сайте Каменецкого районного ЦГЭ, направляется в организации здравоохранения;</w:t>
      </w:r>
    </w:p>
    <w:p w:rsidR="00DB5DC0" w:rsidRDefault="00DB5DC0" w:rsidP="00DB5DC0">
      <w:pPr>
        <w:tabs>
          <w:tab w:val="left" w:pos="720"/>
        </w:tabs>
        <w:jc w:val="both"/>
        <w:rPr>
          <w:sz w:val="30"/>
          <w:szCs w:val="30"/>
        </w:rPr>
      </w:pPr>
      <w:r>
        <w:rPr>
          <w:sz w:val="30"/>
          <w:szCs w:val="30"/>
        </w:rPr>
        <w:tab/>
      </w:r>
      <w:r w:rsidR="00C02F81" w:rsidRPr="004A4595">
        <w:rPr>
          <w:sz w:val="30"/>
          <w:szCs w:val="30"/>
        </w:rPr>
        <w:t xml:space="preserve">3) </w:t>
      </w:r>
      <w:proofErr w:type="spellStart"/>
      <w:r w:rsidR="00C02F81" w:rsidRPr="004A4595">
        <w:rPr>
          <w:sz w:val="30"/>
          <w:szCs w:val="30"/>
        </w:rPr>
        <w:t>Каменецким</w:t>
      </w:r>
      <w:proofErr w:type="spellEnd"/>
      <w:r w:rsidR="00C02F81" w:rsidRPr="004A4595">
        <w:rPr>
          <w:sz w:val="30"/>
          <w:szCs w:val="30"/>
        </w:rPr>
        <w:t xml:space="preserve"> районным </w:t>
      </w:r>
      <w:proofErr w:type="spellStart"/>
      <w:r w:rsidR="00C02F81" w:rsidRPr="004A4595">
        <w:rPr>
          <w:sz w:val="30"/>
          <w:szCs w:val="30"/>
        </w:rPr>
        <w:t>ЦГиЭ</w:t>
      </w:r>
      <w:proofErr w:type="spellEnd"/>
      <w:r w:rsidR="00C02F81" w:rsidRPr="004A4595">
        <w:rPr>
          <w:sz w:val="30"/>
          <w:szCs w:val="30"/>
        </w:rPr>
        <w:t xml:space="preserve"> проведен учет и паспортизация водоемов, являющихся местами </w:t>
      </w:r>
      <w:proofErr w:type="spellStart"/>
      <w:r w:rsidR="00C02F81" w:rsidRPr="004A4595">
        <w:rPr>
          <w:sz w:val="30"/>
          <w:szCs w:val="30"/>
        </w:rPr>
        <w:t>выплода</w:t>
      </w:r>
      <w:proofErr w:type="spellEnd"/>
      <w:r w:rsidR="00C02F81" w:rsidRPr="004A4595">
        <w:rPr>
          <w:sz w:val="30"/>
          <w:szCs w:val="30"/>
        </w:rPr>
        <w:t xml:space="preserve"> малярийных комаров, оценена их </w:t>
      </w:r>
      <w:proofErr w:type="spellStart"/>
      <w:r w:rsidR="00C02F81" w:rsidRPr="004A4595">
        <w:rPr>
          <w:sz w:val="30"/>
          <w:szCs w:val="30"/>
        </w:rPr>
        <w:t>анофелогенность</w:t>
      </w:r>
      <w:proofErr w:type="spellEnd"/>
      <w:r w:rsidR="00C02F81" w:rsidRPr="004A4595">
        <w:rPr>
          <w:sz w:val="30"/>
          <w:szCs w:val="30"/>
        </w:rPr>
        <w:t xml:space="preserve">. Проводилось наблюдение за фенологией, видовым составом и осуществлялся учет численности имаго малярийных комаров на контрольных дневках. В случае возникновения риска заражения местной малярией, обеспечен ежегодный контроль состояния водоемов. </w:t>
      </w:r>
    </w:p>
    <w:p w:rsidR="00C02F81" w:rsidRPr="00DB5DC0" w:rsidRDefault="00DB5DC0" w:rsidP="00DB5DC0">
      <w:pPr>
        <w:tabs>
          <w:tab w:val="left" w:pos="720"/>
        </w:tabs>
        <w:jc w:val="both"/>
        <w:rPr>
          <w:sz w:val="30"/>
          <w:szCs w:val="30"/>
        </w:rPr>
      </w:pPr>
      <w:r>
        <w:rPr>
          <w:sz w:val="30"/>
          <w:szCs w:val="30"/>
        </w:rPr>
        <w:tab/>
      </w:r>
      <w:r w:rsidR="00C02F81" w:rsidRPr="004A4595">
        <w:rPr>
          <w:sz w:val="30"/>
          <w:szCs w:val="30"/>
        </w:rPr>
        <w:t xml:space="preserve">4) </w:t>
      </w:r>
      <w:proofErr w:type="spellStart"/>
      <w:r w:rsidR="00C02F81" w:rsidRPr="004A4595">
        <w:rPr>
          <w:sz w:val="30"/>
          <w:szCs w:val="30"/>
        </w:rPr>
        <w:t>Каменецким</w:t>
      </w:r>
      <w:proofErr w:type="spellEnd"/>
      <w:r w:rsidR="00C02F81" w:rsidRPr="004A4595">
        <w:rPr>
          <w:sz w:val="30"/>
          <w:szCs w:val="30"/>
        </w:rPr>
        <w:t xml:space="preserve"> районным </w:t>
      </w:r>
      <w:proofErr w:type="spellStart"/>
      <w:r w:rsidR="00C02F81" w:rsidRPr="004A4595">
        <w:rPr>
          <w:sz w:val="30"/>
          <w:szCs w:val="30"/>
        </w:rPr>
        <w:t>ЦГиЭ</w:t>
      </w:r>
      <w:proofErr w:type="spellEnd"/>
      <w:r w:rsidR="00C02F81" w:rsidRPr="004A4595">
        <w:rPr>
          <w:sz w:val="30"/>
          <w:szCs w:val="30"/>
        </w:rPr>
        <w:t xml:space="preserve"> проводилась информационно-образовательная работа среди населения по вопросам профилактики малярии и по предупреждению ее завоза. Результатом реализации плана является </w:t>
      </w:r>
      <w:r w:rsidR="00C02F81" w:rsidRPr="00DB5DC0">
        <w:rPr>
          <w:sz w:val="30"/>
          <w:szCs w:val="30"/>
        </w:rPr>
        <w:t>отсутствие активных местных очагов малярии.</w:t>
      </w:r>
    </w:p>
    <w:p w:rsidR="00DB5DC0" w:rsidRPr="004A4595" w:rsidRDefault="00C02F81" w:rsidP="004A4595">
      <w:pPr>
        <w:tabs>
          <w:tab w:val="left" w:pos="720"/>
        </w:tabs>
        <w:jc w:val="both"/>
        <w:rPr>
          <w:sz w:val="30"/>
          <w:szCs w:val="30"/>
        </w:rPr>
      </w:pPr>
      <w:r w:rsidRPr="00DB5DC0">
        <w:rPr>
          <w:sz w:val="30"/>
          <w:szCs w:val="30"/>
        </w:rPr>
        <w:tab/>
      </w:r>
      <w:r w:rsidRPr="00DB5DC0">
        <w:rPr>
          <w:b/>
          <w:sz w:val="30"/>
          <w:szCs w:val="30"/>
        </w:rPr>
        <w:t>3.3.</w:t>
      </w:r>
      <w:r w:rsidRPr="004A4595">
        <w:rPr>
          <w:b/>
          <w:sz w:val="30"/>
          <w:szCs w:val="30"/>
        </w:rPr>
        <w:t>4. Заболеваемость вирусным гепатитом B на 100 тыс. населения.</w:t>
      </w:r>
    </w:p>
    <w:p w:rsidR="00C02F81" w:rsidRPr="004A4595" w:rsidRDefault="00C02F81" w:rsidP="004A4595">
      <w:pPr>
        <w:tabs>
          <w:tab w:val="left" w:pos="720"/>
        </w:tabs>
        <w:jc w:val="both"/>
        <w:rPr>
          <w:sz w:val="30"/>
          <w:szCs w:val="30"/>
        </w:rPr>
      </w:pPr>
      <w:r w:rsidRPr="004A4595">
        <w:rPr>
          <w:sz w:val="30"/>
          <w:szCs w:val="30"/>
        </w:rPr>
        <w:t xml:space="preserve"> </w:t>
      </w:r>
      <w:r w:rsidR="00DB5DC0">
        <w:rPr>
          <w:sz w:val="30"/>
          <w:szCs w:val="30"/>
        </w:rPr>
        <w:tab/>
      </w:r>
      <w:r w:rsidRPr="004A4595">
        <w:rPr>
          <w:sz w:val="30"/>
          <w:szCs w:val="30"/>
        </w:rPr>
        <w:t>В 2024 год</w:t>
      </w:r>
      <w:r w:rsidR="00DB5DC0">
        <w:rPr>
          <w:sz w:val="30"/>
          <w:szCs w:val="30"/>
        </w:rPr>
        <w:t xml:space="preserve">у </w:t>
      </w:r>
      <w:r w:rsidRPr="004A4595">
        <w:rPr>
          <w:sz w:val="30"/>
          <w:szCs w:val="30"/>
        </w:rPr>
        <w:t>заболеваемость гепатитом B составила 6,4 сл. на 100 тыс. населения (2 случая); в 2023 году – 6,2 сл. на 100 тыс. населения (2 случая).</w:t>
      </w:r>
    </w:p>
    <w:p w:rsidR="00C02F81" w:rsidRPr="004A4595" w:rsidRDefault="00C02F81" w:rsidP="004A4595">
      <w:pPr>
        <w:tabs>
          <w:tab w:val="left" w:pos="720"/>
        </w:tabs>
        <w:jc w:val="both"/>
        <w:rPr>
          <w:sz w:val="30"/>
          <w:szCs w:val="30"/>
        </w:rPr>
      </w:pPr>
      <w:r w:rsidRPr="004A4595">
        <w:rPr>
          <w:sz w:val="30"/>
          <w:szCs w:val="30"/>
        </w:rPr>
        <w:tab/>
        <w:t>Процент охвата обследованием контактных лиц в очагах ВГВ-инфекции (целевой показатель – не менее 90 % от подлежащих) в 2024 году (100%).</w:t>
      </w:r>
    </w:p>
    <w:p w:rsidR="00C02F81" w:rsidRPr="004A4595" w:rsidRDefault="00C02F81" w:rsidP="004A4595">
      <w:pPr>
        <w:tabs>
          <w:tab w:val="left" w:pos="720"/>
        </w:tabs>
        <w:jc w:val="both"/>
        <w:rPr>
          <w:sz w:val="30"/>
          <w:szCs w:val="30"/>
        </w:rPr>
      </w:pPr>
      <w:r w:rsidRPr="004A4595">
        <w:rPr>
          <w:sz w:val="30"/>
          <w:szCs w:val="30"/>
        </w:rPr>
        <w:tab/>
        <w:t>В 2024 году отказов от обследований среди контактных лиц в очагах ВГВ-инфекции целевой показатель – не более 5 % от подлежащих) не было.</w:t>
      </w:r>
    </w:p>
    <w:p w:rsidR="00C02F81" w:rsidRPr="004A4595" w:rsidRDefault="00C02F81" w:rsidP="004A4595">
      <w:pPr>
        <w:tabs>
          <w:tab w:val="left" w:pos="720"/>
        </w:tabs>
        <w:jc w:val="both"/>
        <w:rPr>
          <w:sz w:val="30"/>
          <w:szCs w:val="30"/>
        </w:rPr>
      </w:pPr>
      <w:r w:rsidRPr="004A4595">
        <w:rPr>
          <w:sz w:val="30"/>
          <w:szCs w:val="30"/>
        </w:rPr>
        <w:tab/>
        <w:t>Процент охвата вакцинацией против вирусного гепатита В контактных лиц в очагах ВГВ-инфекции (целевой показатель – не менее 90 % от подлежащих) в 2024 году составил 100 %.</w:t>
      </w:r>
    </w:p>
    <w:p w:rsidR="00C02F81" w:rsidRPr="004A4595" w:rsidRDefault="00C02F81" w:rsidP="004A4595">
      <w:pPr>
        <w:tabs>
          <w:tab w:val="left" w:pos="720"/>
        </w:tabs>
        <w:jc w:val="both"/>
        <w:rPr>
          <w:sz w:val="30"/>
          <w:szCs w:val="30"/>
        </w:rPr>
      </w:pPr>
      <w:r w:rsidRPr="004A4595">
        <w:rPr>
          <w:sz w:val="30"/>
          <w:szCs w:val="30"/>
        </w:rPr>
        <w:tab/>
        <w:t>Контактно-бытовой внутрисемейной передачи ВГВ-инфекции в 2024 году не регистрировалось.</w:t>
      </w:r>
    </w:p>
    <w:p w:rsidR="00C02F81" w:rsidRPr="004A4595" w:rsidRDefault="00DB5DC0" w:rsidP="004A4595">
      <w:pPr>
        <w:tabs>
          <w:tab w:val="left" w:pos="720"/>
        </w:tabs>
        <w:jc w:val="both"/>
        <w:rPr>
          <w:sz w:val="30"/>
          <w:szCs w:val="30"/>
        </w:rPr>
      </w:pPr>
      <w:r>
        <w:rPr>
          <w:sz w:val="30"/>
          <w:szCs w:val="30"/>
        </w:rPr>
        <w:tab/>
      </w:r>
      <w:r w:rsidR="00C02F81" w:rsidRPr="004A4595">
        <w:rPr>
          <w:sz w:val="30"/>
          <w:szCs w:val="30"/>
        </w:rPr>
        <w:t>Удельный вес парентерального пути передачи ВГВ-инфекции при потреблении наркотических веществ за 2024 год не регистрировался.</w:t>
      </w:r>
    </w:p>
    <w:p w:rsidR="00C02F81" w:rsidRPr="004A4595" w:rsidRDefault="00C02F81" w:rsidP="004A4595">
      <w:pPr>
        <w:tabs>
          <w:tab w:val="left" w:pos="720"/>
        </w:tabs>
        <w:jc w:val="both"/>
        <w:rPr>
          <w:sz w:val="30"/>
          <w:szCs w:val="30"/>
        </w:rPr>
      </w:pPr>
      <w:r w:rsidRPr="004A4595">
        <w:rPr>
          <w:sz w:val="30"/>
          <w:szCs w:val="30"/>
        </w:rPr>
        <w:tab/>
        <w:t xml:space="preserve">Удельный вес инфицирования при проведении немедицинских манипуляций (тату, пирсинг, маникюр и т.п.) за 2024 года не </w:t>
      </w:r>
      <w:r w:rsidRPr="004A4595">
        <w:rPr>
          <w:sz w:val="30"/>
          <w:szCs w:val="30"/>
        </w:rPr>
        <w:lastRenderedPageBreak/>
        <w:t>регистрировались.</w:t>
      </w:r>
    </w:p>
    <w:p w:rsidR="00C02F81" w:rsidRPr="004A4595" w:rsidRDefault="00C02F81" w:rsidP="004A4595">
      <w:pPr>
        <w:tabs>
          <w:tab w:val="left" w:pos="720"/>
        </w:tabs>
        <w:jc w:val="both"/>
        <w:rPr>
          <w:sz w:val="30"/>
          <w:szCs w:val="30"/>
        </w:rPr>
      </w:pPr>
      <w:r w:rsidRPr="004A4595">
        <w:rPr>
          <w:sz w:val="30"/>
          <w:szCs w:val="30"/>
        </w:rPr>
        <w:tab/>
        <w:t>Абсолютное число случаев профессионального инфицирования медицинских работников вирусом гепатита В (целевой показатель – отсутствие регистрации случаев профессионального инфицирования вирусным гепатитом</w:t>
      </w:r>
      <w:r w:rsidR="00DB5DC0">
        <w:rPr>
          <w:sz w:val="30"/>
          <w:szCs w:val="30"/>
        </w:rPr>
        <w:t xml:space="preserve"> В медицинских работников) за </w:t>
      </w:r>
      <w:r w:rsidRPr="004A4595">
        <w:rPr>
          <w:sz w:val="30"/>
          <w:szCs w:val="30"/>
        </w:rPr>
        <w:t>2024 года случаи не регистрировались.</w:t>
      </w:r>
    </w:p>
    <w:p w:rsidR="00C02F81" w:rsidRPr="004A4595" w:rsidRDefault="00C02F81" w:rsidP="004A4595">
      <w:pPr>
        <w:tabs>
          <w:tab w:val="left" w:pos="720"/>
        </w:tabs>
        <w:jc w:val="both"/>
        <w:rPr>
          <w:sz w:val="30"/>
          <w:szCs w:val="30"/>
        </w:rPr>
      </w:pPr>
      <w:r w:rsidRPr="004A4595">
        <w:rPr>
          <w:sz w:val="30"/>
          <w:szCs w:val="30"/>
        </w:rPr>
        <w:tab/>
        <w:t>Абсолютное число случаев вертикальной передачи геп</w:t>
      </w:r>
      <w:r w:rsidR="00DB5DC0">
        <w:rPr>
          <w:sz w:val="30"/>
          <w:szCs w:val="30"/>
        </w:rPr>
        <w:t xml:space="preserve">атита В от матери ребенку – за </w:t>
      </w:r>
      <w:r w:rsidRPr="004A4595">
        <w:rPr>
          <w:sz w:val="30"/>
          <w:szCs w:val="30"/>
        </w:rPr>
        <w:t>2024 года случаи не регистрировались.</w:t>
      </w:r>
    </w:p>
    <w:p w:rsidR="00DB5DC0" w:rsidRPr="00DB5DC0" w:rsidRDefault="00C02F81" w:rsidP="004A4595">
      <w:pPr>
        <w:tabs>
          <w:tab w:val="left" w:pos="720"/>
        </w:tabs>
        <w:jc w:val="both"/>
        <w:rPr>
          <w:sz w:val="30"/>
          <w:szCs w:val="30"/>
        </w:rPr>
      </w:pPr>
      <w:r w:rsidRPr="004A4595">
        <w:rPr>
          <w:sz w:val="30"/>
          <w:szCs w:val="30"/>
        </w:rPr>
        <w:tab/>
        <w:t>В структуре заболеваемости</w:t>
      </w:r>
      <w:r w:rsidR="00DB5DC0">
        <w:rPr>
          <w:sz w:val="30"/>
          <w:szCs w:val="30"/>
        </w:rPr>
        <w:t xml:space="preserve"> ПВГ среди населения </w:t>
      </w:r>
      <w:r w:rsidRPr="004A4595">
        <w:rPr>
          <w:sz w:val="30"/>
          <w:szCs w:val="30"/>
        </w:rPr>
        <w:t>района</w:t>
      </w:r>
      <w:r w:rsidR="00DB5DC0">
        <w:rPr>
          <w:sz w:val="30"/>
          <w:szCs w:val="30"/>
        </w:rPr>
        <w:t xml:space="preserve"> в </w:t>
      </w:r>
      <w:r w:rsidRPr="004A4595">
        <w:rPr>
          <w:sz w:val="30"/>
          <w:szCs w:val="30"/>
        </w:rPr>
        <w:t xml:space="preserve">2024 году на долю парентеральных вирусных гепатитов В приходится 33,3 % от всех случаев заболеваемости ПВГ. Группой риска по инфицированию ПВГВ является взрослое трудоспособное население. </w:t>
      </w:r>
    </w:p>
    <w:p w:rsidR="00C02F81" w:rsidRPr="004A4595" w:rsidRDefault="00C02F81" w:rsidP="004A4595">
      <w:pPr>
        <w:tabs>
          <w:tab w:val="left" w:pos="720"/>
        </w:tabs>
        <w:jc w:val="both"/>
        <w:rPr>
          <w:b/>
          <w:sz w:val="30"/>
          <w:szCs w:val="30"/>
        </w:rPr>
      </w:pPr>
      <w:r w:rsidRPr="004A4595">
        <w:rPr>
          <w:sz w:val="30"/>
          <w:szCs w:val="30"/>
        </w:rPr>
        <w:tab/>
      </w:r>
      <w:r w:rsidRPr="004A4595">
        <w:rPr>
          <w:b/>
          <w:sz w:val="30"/>
          <w:szCs w:val="30"/>
        </w:rPr>
        <w:t>3.3.5. Число людей, нуждающихся в лечении от «забытых» тропических болезней.</w:t>
      </w:r>
    </w:p>
    <w:p w:rsidR="00C02F81" w:rsidRPr="004A4595" w:rsidRDefault="00C02F81" w:rsidP="004A4595">
      <w:pPr>
        <w:tabs>
          <w:tab w:val="left" w:pos="720"/>
        </w:tabs>
        <w:jc w:val="both"/>
        <w:rPr>
          <w:b/>
          <w:sz w:val="30"/>
          <w:szCs w:val="30"/>
        </w:rPr>
      </w:pPr>
      <w:r w:rsidRPr="004A4595">
        <w:rPr>
          <w:sz w:val="30"/>
          <w:szCs w:val="30"/>
        </w:rPr>
        <w:tab/>
        <w:t>Число людей, нуждающихся в лечении от «забытых» тропических болезней – данные для демонстрации отсутствуют.</w:t>
      </w:r>
    </w:p>
    <w:p w:rsidR="009300A4" w:rsidRPr="004A4595" w:rsidRDefault="00382591" w:rsidP="004A4595">
      <w:pPr>
        <w:tabs>
          <w:tab w:val="left" w:pos="720"/>
        </w:tabs>
        <w:jc w:val="both"/>
        <w:rPr>
          <w:b/>
          <w:sz w:val="30"/>
          <w:szCs w:val="30"/>
        </w:rPr>
      </w:pPr>
      <w:r w:rsidRPr="004A4595">
        <w:rPr>
          <w:b/>
          <w:sz w:val="30"/>
          <w:szCs w:val="30"/>
        </w:rPr>
        <w:tab/>
      </w:r>
      <w:r w:rsidR="009300A4" w:rsidRPr="004A4595">
        <w:rPr>
          <w:b/>
          <w:sz w:val="30"/>
          <w:szCs w:val="30"/>
        </w:rPr>
        <w:t>3.9.1. «Смертность от загрязнения воздуха в жилых помещениях и атмосферного воздуха».</w:t>
      </w:r>
    </w:p>
    <w:p w:rsidR="00DB5DC0" w:rsidRDefault="009300A4" w:rsidP="00DB5DC0">
      <w:pPr>
        <w:shd w:val="clear" w:color="auto" w:fill="FFFFFF"/>
        <w:ind w:firstLine="708"/>
        <w:jc w:val="both"/>
        <w:rPr>
          <w:sz w:val="30"/>
          <w:szCs w:val="30"/>
        </w:rPr>
      </w:pPr>
      <w:r w:rsidRPr="004A4595">
        <w:rPr>
          <w:sz w:val="30"/>
          <w:szCs w:val="30"/>
        </w:rPr>
        <w:t xml:space="preserve">Долгосрочные наблюдения за загрязнением атмосферного воздуха осуществляются на контрольных точках района. Контрольные точки расположены в жилых районах, вблизи автомагистралей и крупных промышленных объектов. Контроль ведется по ряду показателей: пыль, сернистый газ, окись углерода, окись азота, аммиака, фенол, формальдегид, сероводород, хлор и его соединения, ароматические углеводороды, пропан-2-ол. </w:t>
      </w:r>
    </w:p>
    <w:p w:rsidR="009300A4" w:rsidRPr="00DB5DC0" w:rsidRDefault="009300A4" w:rsidP="00DB5DC0">
      <w:pPr>
        <w:shd w:val="clear" w:color="auto" w:fill="FFFFFF"/>
        <w:ind w:firstLine="708"/>
        <w:jc w:val="both"/>
        <w:rPr>
          <w:sz w:val="30"/>
          <w:szCs w:val="30"/>
        </w:rPr>
      </w:pPr>
      <w:r w:rsidRPr="004A4595">
        <w:rPr>
          <w:iCs/>
          <w:sz w:val="30"/>
          <w:szCs w:val="30"/>
        </w:rPr>
        <w:t>За ряд лет наблюдений превышений не наблюдалось.</w:t>
      </w:r>
    </w:p>
    <w:p w:rsidR="009300A4" w:rsidRPr="004A4595" w:rsidRDefault="009300A4" w:rsidP="004A4595">
      <w:pPr>
        <w:ind w:firstLine="708"/>
        <w:jc w:val="both"/>
        <w:rPr>
          <w:sz w:val="30"/>
          <w:szCs w:val="30"/>
        </w:rPr>
      </w:pPr>
      <w:proofErr w:type="spellStart"/>
      <w:r w:rsidRPr="004A4595">
        <w:rPr>
          <w:sz w:val="30"/>
          <w:szCs w:val="30"/>
        </w:rPr>
        <w:t>Каменецким</w:t>
      </w:r>
      <w:proofErr w:type="spellEnd"/>
      <w:r w:rsidRPr="004A4595">
        <w:rPr>
          <w:sz w:val="30"/>
          <w:szCs w:val="30"/>
        </w:rPr>
        <w:t xml:space="preserve"> районным </w:t>
      </w:r>
      <w:proofErr w:type="spellStart"/>
      <w:r w:rsidRPr="004A4595">
        <w:rPr>
          <w:sz w:val="30"/>
          <w:szCs w:val="30"/>
        </w:rPr>
        <w:t>ЦГиЭ</w:t>
      </w:r>
      <w:proofErr w:type="spellEnd"/>
      <w:r w:rsidRPr="004A4595">
        <w:rPr>
          <w:sz w:val="30"/>
          <w:szCs w:val="30"/>
        </w:rPr>
        <w:t xml:space="preserve"> проводится планомерный надзор за объектами, имеющими сокращенные размеры санитарно-защитных зон.</w:t>
      </w:r>
    </w:p>
    <w:p w:rsidR="009300A4" w:rsidRPr="004A4595" w:rsidRDefault="009300A4" w:rsidP="004A4595">
      <w:pPr>
        <w:tabs>
          <w:tab w:val="left" w:pos="709"/>
        </w:tabs>
        <w:jc w:val="both"/>
        <w:rPr>
          <w:b/>
          <w:sz w:val="30"/>
          <w:szCs w:val="30"/>
        </w:rPr>
      </w:pPr>
      <w:r w:rsidRPr="004A4595">
        <w:rPr>
          <w:b/>
          <w:sz w:val="30"/>
          <w:szCs w:val="30"/>
        </w:rPr>
        <w:tab/>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9300A4" w:rsidRPr="004A4595" w:rsidRDefault="009300A4" w:rsidP="004A4595">
      <w:pPr>
        <w:pStyle w:val="a3"/>
        <w:spacing w:after="0"/>
        <w:ind w:firstLine="708"/>
        <w:jc w:val="both"/>
        <w:rPr>
          <w:b/>
          <w:sz w:val="30"/>
          <w:szCs w:val="30"/>
        </w:rPr>
      </w:pPr>
      <w:r w:rsidRPr="004A4595">
        <w:rPr>
          <w:b/>
          <w:sz w:val="30"/>
          <w:szCs w:val="30"/>
        </w:rPr>
        <w:t>Питьевое водоснабжение:</w:t>
      </w:r>
    </w:p>
    <w:p w:rsidR="009300A4" w:rsidRPr="004A4595" w:rsidRDefault="009300A4" w:rsidP="004A4595">
      <w:pPr>
        <w:widowControl/>
        <w:autoSpaceDE/>
        <w:adjustRightInd/>
        <w:ind w:firstLine="708"/>
        <w:jc w:val="both"/>
        <w:rPr>
          <w:sz w:val="30"/>
          <w:szCs w:val="30"/>
        </w:rPr>
      </w:pPr>
      <w:r w:rsidRPr="004A4595">
        <w:rPr>
          <w:sz w:val="30"/>
          <w:szCs w:val="30"/>
        </w:rPr>
        <w:t>Одним из приоритетных направлений работы учреждения на 2024 год остается контроль за обеспечением населения района качественной и безопасной питьевой водой.</w:t>
      </w:r>
    </w:p>
    <w:p w:rsidR="009300A4" w:rsidRPr="004A4595" w:rsidRDefault="009300A4" w:rsidP="004A4595">
      <w:pPr>
        <w:widowControl/>
        <w:autoSpaceDE/>
        <w:adjustRightInd/>
        <w:ind w:firstLine="708"/>
        <w:jc w:val="both"/>
        <w:rPr>
          <w:sz w:val="30"/>
          <w:szCs w:val="30"/>
        </w:rPr>
      </w:pPr>
      <w:r w:rsidRPr="004A4595">
        <w:rPr>
          <w:sz w:val="30"/>
          <w:szCs w:val="30"/>
        </w:rPr>
        <w:t xml:space="preserve">В рамках социально-гигиенического мониторинга лабораторным отделом Каменецкого </w:t>
      </w:r>
      <w:proofErr w:type="spellStart"/>
      <w:r w:rsidRPr="004A4595">
        <w:rPr>
          <w:sz w:val="30"/>
          <w:szCs w:val="30"/>
        </w:rPr>
        <w:t>ЦГиЭ</w:t>
      </w:r>
      <w:proofErr w:type="spellEnd"/>
      <w:r w:rsidRPr="004A4595">
        <w:rPr>
          <w:sz w:val="30"/>
          <w:szCs w:val="30"/>
        </w:rPr>
        <w:t xml:space="preserve">, согласно плана исследований факторов окружающей среды, проведен контроль качества питьевой воды из артезианских скважин, разводящей сети коммунальных и ведомственных водопроводов и воды нецентрализованных систем питьевого водоснабжения, где: </w:t>
      </w:r>
    </w:p>
    <w:p w:rsidR="009300A4" w:rsidRPr="004A4595" w:rsidRDefault="009300A4" w:rsidP="004A4595">
      <w:pPr>
        <w:widowControl/>
        <w:autoSpaceDE/>
        <w:adjustRightInd/>
        <w:ind w:firstLine="708"/>
        <w:jc w:val="both"/>
        <w:rPr>
          <w:sz w:val="30"/>
          <w:szCs w:val="30"/>
        </w:rPr>
      </w:pPr>
      <w:r w:rsidRPr="004A4595">
        <w:rPr>
          <w:sz w:val="30"/>
          <w:szCs w:val="30"/>
        </w:rPr>
        <w:t xml:space="preserve">- </w:t>
      </w:r>
      <w:r w:rsidRPr="004A4595">
        <w:rPr>
          <w:b/>
          <w:sz w:val="30"/>
          <w:szCs w:val="30"/>
        </w:rPr>
        <w:t>коммунальные водопроводы</w:t>
      </w:r>
      <w:r w:rsidRPr="004A4595">
        <w:rPr>
          <w:sz w:val="30"/>
          <w:szCs w:val="30"/>
        </w:rPr>
        <w:t xml:space="preserve"> из 197 исследованных проб (распределительная сеть) и 70 проб (перед поступлени</w:t>
      </w:r>
      <w:r w:rsidR="00DB5DC0">
        <w:rPr>
          <w:sz w:val="30"/>
          <w:szCs w:val="30"/>
        </w:rPr>
        <w:t xml:space="preserve">ем в распределительную сеть) - </w:t>
      </w:r>
      <w:r w:rsidRPr="004A4595">
        <w:rPr>
          <w:sz w:val="30"/>
          <w:szCs w:val="30"/>
        </w:rPr>
        <w:t>по микробиологическим показателям не соответствия гигиени</w:t>
      </w:r>
      <w:r w:rsidR="00DB5DC0">
        <w:rPr>
          <w:sz w:val="30"/>
          <w:szCs w:val="30"/>
        </w:rPr>
        <w:t xml:space="preserve">ческим нормативам не выявлено; </w:t>
      </w:r>
      <w:r w:rsidRPr="004A4595">
        <w:rPr>
          <w:sz w:val="30"/>
          <w:szCs w:val="30"/>
        </w:rPr>
        <w:t xml:space="preserve">по </w:t>
      </w:r>
      <w:proofErr w:type="spellStart"/>
      <w:r w:rsidRPr="004A4595">
        <w:rPr>
          <w:sz w:val="30"/>
          <w:szCs w:val="30"/>
        </w:rPr>
        <w:t>санитарно</w:t>
      </w:r>
      <w:proofErr w:type="spellEnd"/>
      <w:r w:rsidRPr="004A4595">
        <w:rPr>
          <w:sz w:val="30"/>
          <w:szCs w:val="30"/>
        </w:rPr>
        <w:t xml:space="preserve"> - химическим и органолептическим </w:t>
      </w:r>
      <w:r w:rsidRPr="004A4595">
        <w:rPr>
          <w:sz w:val="30"/>
          <w:szCs w:val="30"/>
        </w:rPr>
        <w:lastRenderedPageBreak/>
        <w:t>показателям из 210 проб (распределительная сеть 66 проб не соот</w:t>
      </w:r>
      <w:r w:rsidR="00DB5DC0">
        <w:rPr>
          <w:sz w:val="30"/>
          <w:szCs w:val="30"/>
        </w:rPr>
        <w:t xml:space="preserve">ветствие по железу (31.40%), </w:t>
      </w:r>
      <w:r w:rsidRPr="004A4595">
        <w:rPr>
          <w:sz w:val="30"/>
          <w:szCs w:val="30"/>
        </w:rPr>
        <w:t>105 проба (перед поступлени</w:t>
      </w:r>
      <w:r w:rsidR="00C16B4D">
        <w:rPr>
          <w:sz w:val="30"/>
          <w:szCs w:val="30"/>
        </w:rPr>
        <w:t>ем в распределительную сеть) - не соответствие</w:t>
      </w:r>
      <w:r w:rsidRPr="004A4595">
        <w:rPr>
          <w:sz w:val="30"/>
          <w:szCs w:val="30"/>
        </w:rPr>
        <w:t xml:space="preserve"> нормативам 105проб, не соответствие по железу 83 (63%).</w:t>
      </w:r>
    </w:p>
    <w:p w:rsidR="009300A4" w:rsidRPr="004A4595" w:rsidRDefault="009300A4" w:rsidP="004A4595">
      <w:pPr>
        <w:widowControl/>
        <w:autoSpaceDE/>
        <w:adjustRightInd/>
        <w:ind w:firstLine="708"/>
        <w:jc w:val="both"/>
        <w:rPr>
          <w:sz w:val="30"/>
          <w:szCs w:val="30"/>
        </w:rPr>
      </w:pPr>
      <w:r w:rsidRPr="004A4595">
        <w:rPr>
          <w:sz w:val="30"/>
          <w:szCs w:val="30"/>
        </w:rPr>
        <w:t xml:space="preserve">- </w:t>
      </w:r>
      <w:r w:rsidRPr="004A4595">
        <w:rPr>
          <w:b/>
          <w:sz w:val="30"/>
          <w:szCs w:val="30"/>
        </w:rPr>
        <w:t>ведомственные водопроводы</w:t>
      </w:r>
      <w:r w:rsidRPr="004A4595">
        <w:rPr>
          <w:sz w:val="30"/>
          <w:szCs w:val="30"/>
        </w:rPr>
        <w:t xml:space="preserve"> из 43 исследованных п</w:t>
      </w:r>
      <w:r w:rsidR="00DB5DC0">
        <w:rPr>
          <w:sz w:val="30"/>
          <w:szCs w:val="30"/>
        </w:rPr>
        <w:t xml:space="preserve">роб (распределительная сеть) и </w:t>
      </w:r>
      <w:r w:rsidRPr="004A4595">
        <w:rPr>
          <w:sz w:val="30"/>
          <w:szCs w:val="30"/>
        </w:rPr>
        <w:t>43 пробы (перед поступлени</w:t>
      </w:r>
      <w:r w:rsidR="00DB5DC0">
        <w:rPr>
          <w:sz w:val="30"/>
          <w:szCs w:val="30"/>
        </w:rPr>
        <w:t xml:space="preserve">ем в распределительную сеть) - </w:t>
      </w:r>
      <w:r w:rsidRPr="004A4595">
        <w:rPr>
          <w:sz w:val="30"/>
          <w:szCs w:val="30"/>
        </w:rPr>
        <w:t xml:space="preserve">по микробиологическим показателям не соответствия гигиеническим нормативам не выявлено; по </w:t>
      </w:r>
      <w:proofErr w:type="spellStart"/>
      <w:r w:rsidRPr="004A4595">
        <w:rPr>
          <w:sz w:val="30"/>
          <w:szCs w:val="30"/>
        </w:rPr>
        <w:t>санитарно</w:t>
      </w:r>
      <w:proofErr w:type="spellEnd"/>
      <w:r w:rsidRPr="004A4595">
        <w:rPr>
          <w:sz w:val="30"/>
          <w:szCs w:val="30"/>
        </w:rPr>
        <w:t xml:space="preserve"> - химическим и органолептическим показателям из 57 исследованных проб (распределительная сеть) - не соответствие гигиеническим нормативам - 26 проб (46%) по железу (18%) и 43 пробы (перед поступлением в распределительную сеть) – не соответствие по железу 16 проба 37%).46 исследованных проб по микробиологическим показателям не соответствия гигиеническим нормативам не было по санитарно- химическим и органолептическим показателям из 46 исследованных проб не соответ</w:t>
      </w:r>
      <w:r w:rsidR="00C16B4D">
        <w:rPr>
          <w:sz w:val="30"/>
          <w:szCs w:val="30"/>
        </w:rPr>
        <w:t xml:space="preserve">ствие гигиеническим нормативам 27 проб </w:t>
      </w:r>
      <w:r w:rsidRPr="004A4595">
        <w:rPr>
          <w:sz w:val="30"/>
          <w:szCs w:val="30"/>
        </w:rPr>
        <w:t>(27%), из них несоответствие по нитратам - 16 проб (59,3%).</w:t>
      </w:r>
    </w:p>
    <w:p w:rsidR="009300A4" w:rsidRPr="004A4595" w:rsidRDefault="009300A4" w:rsidP="004A4595">
      <w:pPr>
        <w:widowControl/>
        <w:autoSpaceDE/>
        <w:adjustRightInd/>
        <w:ind w:firstLine="851"/>
        <w:jc w:val="both"/>
        <w:rPr>
          <w:sz w:val="30"/>
          <w:szCs w:val="30"/>
        </w:rPr>
      </w:pPr>
      <w:r w:rsidRPr="004A4595">
        <w:rPr>
          <w:sz w:val="30"/>
          <w:szCs w:val="30"/>
        </w:rPr>
        <w:t>За 2024 год контрольно-надзорными мероприятиями в рамках МТХ (мероприятий технического (технологического, поверочного) характера) охвачены 9 субъектов хозяйствования ведомственных водопроводов и 1 субъект коммунальных централизованных систем водоснабжения.</w:t>
      </w:r>
    </w:p>
    <w:p w:rsidR="009300A4" w:rsidRPr="004A4595" w:rsidRDefault="009300A4" w:rsidP="004A4595">
      <w:pPr>
        <w:widowControl/>
        <w:autoSpaceDE/>
        <w:adjustRightInd/>
        <w:ind w:firstLine="708"/>
        <w:jc w:val="both"/>
        <w:rPr>
          <w:sz w:val="30"/>
          <w:szCs w:val="30"/>
        </w:rPr>
      </w:pPr>
      <w:r w:rsidRPr="004A4595">
        <w:rPr>
          <w:sz w:val="30"/>
          <w:szCs w:val="30"/>
        </w:rPr>
        <w:t>Субъектам выдано 8 предписаний об устранении нарушений, из них 6 выполнено в полном объеме, 2 находится на контроле - сроки исполнения не истекли.</w:t>
      </w:r>
    </w:p>
    <w:p w:rsidR="009300A4" w:rsidRPr="004A4595" w:rsidRDefault="009300A4" w:rsidP="004A4595">
      <w:pPr>
        <w:widowControl/>
        <w:autoSpaceDE/>
        <w:adjustRightInd/>
        <w:ind w:firstLine="851"/>
        <w:jc w:val="both"/>
        <w:rPr>
          <w:sz w:val="30"/>
          <w:szCs w:val="30"/>
        </w:rPr>
      </w:pPr>
      <w:r w:rsidRPr="004A4595">
        <w:rPr>
          <w:sz w:val="30"/>
          <w:szCs w:val="30"/>
        </w:rPr>
        <w:t>Проведен обучающий семинар с лицами, ответственными за эксплуатацию водопроводных сооружений.</w:t>
      </w:r>
    </w:p>
    <w:p w:rsidR="009300A4" w:rsidRPr="004A4595" w:rsidRDefault="009300A4" w:rsidP="004A4595">
      <w:pPr>
        <w:widowControl/>
        <w:autoSpaceDE/>
        <w:adjustRightInd/>
        <w:ind w:firstLine="851"/>
        <w:jc w:val="both"/>
        <w:rPr>
          <w:sz w:val="30"/>
          <w:szCs w:val="30"/>
        </w:rPr>
      </w:pPr>
      <w:r w:rsidRPr="004A4595">
        <w:rPr>
          <w:sz w:val="30"/>
          <w:szCs w:val="30"/>
        </w:rPr>
        <w:t xml:space="preserve">Для улучшения качества воды в районе функционирует 25 станций обезжелезивания, в 2024 году введено в эксплуатацию 3 станции обезжелезивания в </w:t>
      </w:r>
      <w:proofErr w:type="spellStart"/>
      <w:r w:rsidRPr="004A4595">
        <w:rPr>
          <w:sz w:val="30"/>
          <w:szCs w:val="30"/>
        </w:rPr>
        <w:t>аг</w:t>
      </w:r>
      <w:proofErr w:type="spellEnd"/>
      <w:r w:rsidRPr="004A4595">
        <w:rPr>
          <w:sz w:val="30"/>
          <w:szCs w:val="30"/>
        </w:rPr>
        <w:t xml:space="preserve">. </w:t>
      </w:r>
      <w:proofErr w:type="spellStart"/>
      <w:r w:rsidRPr="004A4595">
        <w:rPr>
          <w:sz w:val="30"/>
          <w:szCs w:val="30"/>
        </w:rPr>
        <w:t>Новицковичи</w:t>
      </w:r>
      <w:proofErr w:type="spellEnd"/>
      <w:r w:rsidRPr="004A4595">
        <w:rPr>
          <w:sz w:val="30"/>
          <w:szCs w:val="30"/>
        </w:rPr>
        <w:t xml:space="preserve">, д. Речица и д. </w:t>
      </w:r>
      <w:proofErr w:type="spellStart"/>
      <w:r w:rsidRPr="004A4595">
        <w:rPr>
          <w:sz w:val="30"/>
          <w:szCs w:val="30"/>
        </w:rPr>
        <w:t>Свищево</w:t>
      </w:r>
      <w:proofErr w:type="spellEnd"/>
      <w:r w:rsidRPr="004A4595">
        <w:rPr>
          <w:sz w:val="30"/>
          <w:szCs w:val="30"/>
        </w:rPr>
        <w:t xml:space="preserve">. В 2025 году планируется строительство станций обезжелезивания в </w:t>
      </w:r>
      <w:proofErr w:type="spellStart"/>
      <w:r w:rsidRPr="004A4595">
        <w:rPr>
          <w:sz w:val="30"/>
          <w:szCs w:val="30"/>
        </w:rPr>
        <w:t>аг.Долбизно</w:t>
      </w:r>
      <w:proofErr w:type="spellEnd"/>
      <w:r w:rsidRPr="004A4595">
        <w:rPr>
          <w:sz w:val="30"/>
          <w:szCs w:val="30"/>
        </w:rPr>
        <w:t xml:space="preserve">, </w:t>
      </w:r>
      <w:proofErr w:type="spellStart"/>
      <w:r w:rsidRPr="004A4595">
        <w:rPr>
          <w:sz w:val="30"/>
          <w:szCs w:val="30"/>
        </w:rPr>
        <w:t>аг</w:t>
      </w:r>
      <w:proofErr w:type="spellEnd"/>
      <w:r w:rsidRPr="004A4595">
        <w:rPr>
          <w:sz w:val="30"/>
          <w:szCs w:val="30"/>
        </w:rPr>
        <w:t xml:space="preserve">. Ходосы, окончание строительства станции обезжелезивания в </w:t>
      </w:r>
      <w:proofErr w:type="spellStart"/>
      <w:r w:rsidRPr="004A4595">
        <w:rPr>
          <w:sz w:val="30"/>
          <w:szCs w:val="30"/>
        </w:rPr>
        <w:t>аг</w:t>
      </w:r>
      <w:proofErr w:type="spellEnd"/>
      <w:r w:rsidRPr="004A4595">
        <w:rPr>
          <w:sz w:val="30"/>
          <w:szCs w:val="30"/>
        </w:rPr>
        <w:t xml:space="preserve">. </w:t>
      </w:r>
      <w:proofErr w:type="spellStart"/>
      <w:r w:rsidRPr="004A4595">
        <w:rPr>
          <w:sz w:val="30"/>
          <w:szCs w:val="30"/>
        </w:rPr>
        <w:t>Дмитровичи</w:t>
      </w:r>
      <w:proofErr w:type="spellEnd"/>
      <w:r w:rsidRPr="004A4595">
        <w:rPr>
          <w:sz w:val="30"/>
          <w:szCs w:val="30"/>
        </w:rPr>
        <w:t>.</w:t>
      </w:r>
    </w:p>
    <w:p w:rsidR="00C02F81" w:rsidRPr="004A4595" w:rsidRDefault="00382591" w:rsidP="004A4595">
      <w:pPr>
        <w:tabs>
          <w:tab w:val="left" w:pos="709"/>
        </w:tabs>
        <w:jc w:val="both"/>
        <w:rPr>
          <w:b/>
          <w:sz w:val="30"/>
          <w:szCs w:val="30"/>
        </w:rPr>
      </w:pPr>
      <w:r w:rsidRPr="004A4595">
        <w:rPr>
          <w:b/>
          <w:sz w:val="30"/>
          <w:szCs w:val="30"/>
        </w:rPr>
        <w:tab/>
      </w:r>
      <w:r w:rsidR="00C02F81" w:rsidRPr="004A4595">
        <w:rPr>
          <w:b/>
          <w:sz w:val="30"/>
          <w:szCs w:val="30"/>
        </w:rPr>
        <w:t>3.b.1. «Доля целевой группы населения, охваченной иммунизацией всеми вакцинами, включенными в национальные программы».</w:t>
      </w:r>
    </w:p>
    <w:p w:rsidR="00C02F81" w:rsidRPr="004A4595" w:rsidRDefault="00C02F81" w:rsidP="004A4595">
      <w:pPr>
        <w:tabs>
          <w:tab w:val="left" w:pos="709"/>
          <w:tab w:val="left" w:pos="1134"/>
        </w:tabs>
        <w:jc w:val="both"/>
        <w:rPr>
          <w:sz w:val="30"/>
          <w:szCs w:val="30"/>
        </w:rPr>
      </w:pPr>
      <w:r w:rsidRPr="004A4595">
        <w:rPr>
          <w:sz w:val="30"/>
          <w:szCs w:val="30"/>
        </w:rPr>
        <w:tab/>
        <w:t>Показатели охвата профилактическими прививками в соответствии с критериями качества иммунизации, утвержденными приказом Министерства здравоохранения Республики Беларусь от 27.02.2014 № 191, составляют не менее 97 % для детей и 95 % для взрослых.</w:t>
      </w:r>
    </w:p>
    <w:p w:rsidR="00C02F81" w:rsidRPr="004A4595" w:rsidRDefault="00C02F81" w:rsidP="004A4595">
      <w:pPr>
        <w:tabs>
          <w:tab w:val="left" w:pos="709"/>
          <w:tab w:val="left" w:pos="1134"/>
        </w:tabs>
        <w:jc w:val="both"/>
        <w:rPr>
          <w:sz w:val="30"/>
          <w:szCs w:val="30"/>
        </w:rPr>
      </w:pPr>
      <w:r w:rsidRPr="004A4595">
        <w:rPr>
          <w:sz w:val="30"/>
          <w:szCs w:val="30"/>
        </w:rPr>
        <w:t>По результатам проведенного анализа состояния иммунизации населения Ивановского района за 2024 год показатели охвата прививками соответствуют рекомендуемым (не менее 97 % для детей и взрослых). Не достигнут рекомендуемый детей до года по вакцинации против туберкулеза – 95,1 %, вакцинации против вирусного гепатита В– 95 %, вакцинации против дифтерии, коклюша, столбняка, полиомиелита и ХИБ-инфекции – 95 % - не достигнут показатель по причине отказов и медицинских отводов от вакцинации.</w:t>
      </w:r>
      <w:r w:rsidRPr="004A4595">
        <w:rPr>
          <w:sz w:val="30"/>
          <w:szCs w:val="30"/>
        </w:rPr>
        <w:tab/>
        <w:t xml:space="preserve"> </w:t>
      </w:r>
      <w:proofErr w:type="spellStart"/>
      <w:r w:rsidRPr="004A4595">
        <w:rPr>
          <w:sz w:val="30"/>
          <w:szCs w:val="30"/>
        </w:rPr>
        <w:t>Справочно</w:t>
      </w:r>
      <w:proofErr w:type="spellEnd"/>
      <w:r w:rsidRPr="004A4595">
        <w:rPr>
          <w:sz w:val="30"/>
          <w:szCs w:val="30"/>
        </w:rPr>
        <w:t>:</w:t>
      </w:r>
    </w:p>
    <w:p w:rsidR="00C02F81" w:rsidRPr="004A4595" w:rsidRDefault="00C02F81" w:rsidP="004A4595">
      <w:pPr>
        <w:tabs>
          <w:tab w:val="left" w:pos="709"/>
          <w:tab w:val="left" w:pos="1134"/>
        </w:tabs>
        <w:jc w:val="both"/>
        <w:rPr>
          <w:sz w:val="30"/>
          <w:szCs w:val="30"/>
        </w:rPr>
      </w:pPr>
      <w:r w:rsidRPr="004A4595">
        <w:rPr>
          <w:sz w:val="30"/>
          <w:szCs w:val="30"/>
        </w:rPr>
        <w:tab/>
        <w:t xml:space="preserve">Охват вакцинацией: АКДС1 – 98 %, АКДС2- 98 %, АКДС3 – 100 %, </w:t>
      </w:r>
      <w:r w:rsidRPr="004A4595">
        <w:rPr>
          <w:sz w:val="30"/>
          <w:szCs w:val="30"/>
        </w:rPr>
        <w:lastRenderedPageBreak/>
        <w:t>АКДС4 – 100 %, ИПВ1 – 98 %, ИПВ2 – 99%, ИПВ3 – 100 %, ИПВ4-100 %, КПК 1 – 98,5 %, КПК2 – 99 %, ВГВ2 – 99 %, ВГВ3- 99 %, ВГВ4- 99 %, АДС 6 лет- 100 %, АДМ 11 лет- 100 %, АДСМ 16 лет - 100 %</w:t>
      </w:r>
    </w:p>
    <w:p w:rsidR="00C02F81" w:rsidRPr="004A4595" w:rsidRDefault="00C02F81" w:rsidP="004A4595">
      <w:pPr>
        <w:tabs>
          <w:tab w:val="left" w:pos="709"/>
          <w:tab w:val="left" w:pos="1134"/>
        </w:tabs>
        <w:jc w:val="both"/>
        <w:rPr>
          <w:sz w:val="30"/>
          <w:szCs w:val="30"/>
        </w:rPr>
      </w:pPr>
      <w:r w:rsidRPr="004A4595">
        <w:rPr>
          <w:sz w:val="30"/>
          <w:szCs w:val="30"/>
        </w:rPr>
        <w:tab/>
        <w:t xml:space="preserve">Для достижения показателей проводится разъяснительная работа с населением, в </w:t>
      </w:r>
      <w:proofErr w:type="spellStart"/>
      <w:r w:rsidRPr="004A4595">
        <w:rPr>
          <w:sz w:val="30"/>
          <w:szCs w:val="30"/>
        </w:rPr>
        <w:t>т.ч</w:t>
      </w:r>
      <w:proofErr w:type="spellEnd"/>
      <w:r w:rsidRPr="004A4595">
        <w:rPr>
          <w:sz w:val="30"/>
          <w:szCs w:val="30"/>
        </w:rPr>
        <w:t>. с целевыми группами в детских дошкольных учреждениях и учреждениях среднего образования, индивидуальной работе с родителями, отказывающимися от проведения прививок своим детям.</w:t>
      </w:r>
    </w:p>
    <w:p w:rsidR="00C02F81" w:rsidRPr="004A4595" w:rsidRDefault="00C02F81" w:rsidP="004A4595">
      <w:pPr>
        <w:tabs>
          <w:tab w:val="left" w:pos="709"/>
          <w:tab w:val="left" w:pos="1134"/>
        </w:tabs>
        <w:jc w:val="both"/>
        <w:rPr>
          <w:sz w:val="30"/>
          <w:szCs w:val="30"/>
        </w:rPr>
      </w:pPr>
      <w:r w:rsidRPr="004A4595">
        <w:rPr>
          <w:sz w:val="30"/>
          <w:szCs w:val="30"/>
        </w:rPr>
        <w:tab/>
        <w:t>Для минимизации отказчиков в ОЗ обеспечено функционирование многоуровневого подхода к работе с лицами, отказывающимися от проведения профилактических прививок:</w:t>
      </w:r>
    </w:p>
    <w:p w:rsidR="00C02F81" w:rsidRPr="004A4595" w:rsidRDefault="00C02F81" w:rsidP="004A4595">
      <w:pPr>
        <w:tabs>
          <w:tab w:val="left" w:pos="709"/>
          <w:tab w:val="left" w:pos="1134"/>
        </w:tabs>
        <w:jc w:val="both"/>
        <w:rPr>
          <w:sz w:val="30"/>
          <w:szCs w:val="30"/>
        </w:rPr>
      </w:pPr>
      <w:r w:rsidRPr="004A4595">
        <w:rPr>
          <w:sz w:val="30"/>
          <w:szCs w:val="30"/>
        </w:rPr>
        <w:t xml:space="preserve">- на постоянной основе проводится целенаправленная разъяснительная работа в виде индивидуальных бесед с взрослыми на терапевтических участках, с родителями на педиатрических участках при каждом визите к врачу, консультаций отказчиков заведующими терапевтическими и педиатрическими отделениями, врачами-инфекционистами, отказчики приглашаются на заседания иммунологических комиссий с участием ответственных лиц за организацию иммунопрофилактики, врачей-эпидемиологов. </w:t>
      </w:r>
    </w:p>
    <w:p w:rsidR="00C02F81" w:rsidRPr="004A4595" w:rsidRDefault="00C16B4D" w:rsidP="004A4595">
      <w:pPr>
        <w:tabs>
          <w:tab w:val="left" w:pos="709"/>
          <w:tab w:val="left" w:pos="1134"/>
        </w:tabs>
        <w:jc w:val="both"/>
        <w:rPr>
          <w:sz w:val="30"/>
          <w:szCs w:val="30"/>
        </w:rPr>
      </w:pPr>
      <w:r w:rsidRPr="004A4595">
        <w:rPr>
          <w:sz w:val="30"/>
          <w:szCs w:val="30"/>
        </w:rPr>
        <w:t>Организована</w:t>
      </w:r>
      <w:r w:rsidR="00C02F81" w:rsidRPr="004A4595">
        <w:rPr>
          <w:sz w:val="30"/>
          <w:szCs w:val="30"/>
        </w:rPr>
        <w:t xml:space="preserve"> альтернативная вакцинация населения на платной основе от инфекций в соответствии с Национальным календарем и не входящие в национальный календарь.</w:t>
      </w:r>
    </w:p>
    <w:p w:rsidR="00C02F81" w:rsidRPr="004A4595" w:rsidRDefault="00C02F81" w:rsidP="004A4595">
      <w:pPr>
        <w:tabs>
          <w:tab w:val="left" w:pos="709"/>
          <w:tab w:val="left" w:pos="1134"/>
        </w:tabs>
        <w:jc w:val="both"/>
        <w:rPr>
          <w:sz w:val="30"/>
          <w:szCs w:val="30"/>
        </w:rPr>
      </w:pPr>
      <w:r w:rsidRPr="004A4595">
        <w:rPr>
          <w:sz w:val="30"/>
          <w:szCs w:val="30"/>
        </w:rPr>
        <w:t xml:space="preserve"> </w:t>
      </w:r>
      <w:r w:rsidRPr="004A4595">
        <w:rPr>
          <w:sz w:val="30"/>
          <w:szCs w:val="30"/>
        </w:rPr>
        <w:tab/>
        <w:t xml:space="preserve">Проводится активная информационно-разъяснительная работа с населением по вакцинопрофилактике, </w:t>
      </w:r>
    </w:p>
    <w:p w:rsidR="00C02F81" w:rsidRDefault="00C02F81" w:rsidP="004A4595">
      <w:pPr>
        <w:tabs>
          <w:tab w:val="left" w:pos="709"/>
          <w:tab w:val="left" w:pos="1134"/>
        </w:tabs>
        <w:jc w:val="both"/>
        <w:rPr>
          <w:sz w:val="30"/>
          <w:szCs w:val="30"/>
        </w:rPr>
      </w:pPr>
      <w:r w:rsidRPr="004A4595">
        <w:rPr>
          <w:sz w:val="30"/>
          <w:szCs w:val="30"/>
        </w:rPr>
        <w:tab/>
      </w:r>
      <w:r w:rsidRPr="004A4595">
        <w:rPr>
          <w:b/>
          <w:sz w:val="30"/>
          <w:szCs w:val="30"/>
        </w:rPr>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r w:rsidRPr="004A4595">
        <w:rPr>
          <w:sz w:val="30"/>
          <w:szCs w:val="30"/>
        </w:rPr>
        <w:t xml:space="preserve">. </w:t>
      </w:r>
    </w:p>
    <w:p w:rsidR="002F4387" w:rsidRDefault="002F4387" w:rsidP="004A4595">
      <w:pPr>
        <w:tabs>
          <w:tab w:val="left" w:pos="709"/>
          <w:tab w:val="left" w:pos="1134"/>
        </w:tabs>
        <w:jc w:val="both"/>
        <w:rPr>
          <w:sz w:val="30"/>
          <w:szCs w:val="30"/>
        </w:rPr>
      </w:pPr>
      <w:r>
        <w:rPr>
          <w:sz w:val="30"/>
          <w:szCs w:val="30"/>
        </w:rPr>
        <w:tab/>
        <w:t xml:space="preserve">В целях быстрого и эффективного реагирования на риски для здоровья населения и чрезвычайных ситуациях в </w:t>
      </w:r>
      <w:proofErr w:type="spellStart"/>
      <w:r>
        <w:rPr>
          <w:sz w:val="30"/>
          <w:szCs w:val="30"/>
        </w:rPr>
        <w:t>Каменецком</w:t>
      </w:r>
      <w:proofErr w:type="spellEnd"/>
      <w:r>
        <w:rPr>
          <w:sz w:val="30"/>
          <w:szCs w:val="30"/>
        </w:rPr>
        <w:t xml:space="preserve"> районе действует приказ «О системе действий центра в чрезвычайных ситуациях» 03.01.2024 № 6-О/Д.</w:t>
      </w:r>
    </w:p>
    <w:p w:rsidR="002F4387" w:rsidRDefault="002F4387" w:rsidP="004A4595">
      <w:pPr>
        <w:tabs>
          <w:tab w:val="left" w:pos="709"/>
          <w:tab w:val="left" w:pos="1134"/>
        </w:tabs>
        <w:jc w:val="both"/>
        <w:rPr>
          <w:sz w:val="30"/>
          <w:szCs w:val="30"/>
        </w:rPr>
      </w:pPr>
      <w:r>
        <w:rPr>
          <w:sz w:val="30"/>
          <w:szCs w:val="30"/>
        </w:rPr>
        <w:tab/>
        <w:t xml:space="preserve">Имеется план основных мероприятий Каменецкого районного </w:t>
      </w:r>
      <w:proofErr w:type="spellStart"/>
      <w:r>
        <w:rPr>
          <w:sz w:val="30"/>
          <w:szCs w:val="30"/>
        </w:rPr>
        <w:t>ЦГиЭ</w:t>
      </w:r>
      <w:proofErr w:type="spellEnd"/>
      <w:r>
        <w:rPr>
          <w:sz w:val="30"/>
          <w:szCs w:val="30"/>
        </w:rPr>
        <w:t xml:space="preserve"> по подготовке органов управления и сил ПЧС и гражданской обо</w:t>
      </w:r>
      <w:r w:rsidR="008610F5">
        <w:rPr>
          <w:sz w:val="30"/>
          <w:szCs w:val="30"/>
        </w:rPr>
        <w:t>роны на 2024</w:t>
      </w:r>
      <w:r>
        <w:rPr>
          <w:sz w:val="30"/>
          <w:szCs w:val="30"/>
        </w:rPr>
        <w:t xml:space="preserve"> год.</w:t>
      </w:r>
    </w:p>
    <w:p w:rsidR="002F4387" w:rsidRPr="004A4595" w:rsidRDefault="002F4387" w:rsidP="004A4595">
      <w:pPr>
        <w:tabs>
          <w:tab w:val="left" w:pos="709"/>
          <w:tab w:val="left" w:pos="1134"/>
        </w:tabs>
        <w:jc w:val="both"/>
        <w:rPr>
          <w:sz w:val="30"/>
          <w:szCs w:val="30"/>
        </w:rPr>
      </w:pPr>
      <w:r>
        <w:rPr>
          <w:sz w:val="30"/>
          <w:szCs w:val="30"/>
        </w:rPr>
        <w:tab/>
        <w:t>План перевода государственного учреждения «Каменецкий районный центр гигиены и эпидемиологии» на работу в условиях военного времени. План гражданской обороны, Инструкция по действию в чрезвычайных ситуациях в</w:t>
      </w:r>
      <w:r w:rsidRPr="002F4387">
        <w:rPr>
          <w:sz w:val="30"/>
          <w:szCs w:val="30"/>
        </w:rPr>
        <w:t xml:space="preserve"> </w:t>
      </w:r>
      <w:r>
        <w:rPr>
          <w:sz w:val="30"/>
          <w:szCs w:val="30"/>
        </w:rPr>
        <w:t xml:space="preserve">Каменецкого районного </w:t>
      </w:r>
      <w:proofErr w:type="spellStart"/>
      <w:r>
        <w:rPr>
          <w:sz w:val="30"/>
          <w:szCs w:val="30"/>
        </w:rPr>
        <w:t>ЦГиЭ</w:t>
      </w:r>
      <w:proofErr w:type="spellEnd"/>
      <w:r>
        <w:rPr>
          <w:sz w:val="30"/>
          <w:szCs w:val="30"/>
        </w:rPr>
        <w:t>.</w:t>
      </w:r>
    </w:p>
    <w:p w:rsidR="00C02F81" w:rsidRPr="004A4595" w:rsidRDefault="00C02F81" w:rsidP="004A4595">
      <w:pPr>
        <w:tabs>
          <w:tab w:val="left" w:pos="709"/>
          <w:tab w:val="left" w:pos="1134"/>
        </w:tabs>
        <w:jc w:val="both"/>
        <w:rPr>
          <w:sz w:val="30"/>
          <w:szCs w:val="30"/>
        </w:rPr>
      </w:pPr>
      <w:r w:rsidRPr="004A4595">
        <w:rPr>
          <w:sz w:val="30"/>
          <w:szCs w:val="30"/>
        </w:rPr>
        <w:tab/>
        <w:t xml:space="preserve">Мероприятия по </w:t>
      </w:r>
      <w:r w:rsidR="00C16B4D">
        <w:rPr>
          <w:sz w:val="30"/>
          <w:szCs w:val="30"/>
        </w:rPr>
        <w:t>санитарной охране территории Каменецкого</w:t>
      </w:r>
      <w:r w:rsidRPr="004A4595">
        <w:rPr>
          <w:sz w:val="30"/>
          <w:szCs w:val="30"/>
        </w:rPr>
        <w:t xml:space="preserve"> района проводятся в соответствии с Комплексным планом мероприятий по сани</w:t>
      </w:r>
      <w:r w:rsidR="00C16B4D">
        <w:rPr>
          <w:sz w:val="30"/>
          <w:szCs w:val="30"/>
        </w:rPr>
        <w:t>тарной охране территории Каменецкого</w:t>
      </w:r>
      <w:r w:rsidRPr="004A4595">
        <w:rPr>
          <w:sz w:val="30"/>
          <w:szCs w:val="30"/>
        </w:rPr>
        <w:t xml:space="preserve"> района (далее – план).</w:t>
      </w:r>
    </w:p>
    <w:p w:rsidR="00C16B4D" w:rsidRDefault="00C02F81" w:rsidP="004A4595">
      <w:pPr>
        <w:tabs>
          <w:tab w:val="left" w:pos="709"/>
          <w:tab w:val="left" w:pos="1134"/>
        </w:tabs>
        <w:jc w:val="both"/>
        <w:rPr>
          <w:sz w:val="30"/>
          <w:szCs w:val="30"/>
        </w:rPr>
      </w:pPr>
      <w:r w:rsidRPr="004A4595">
        <w:rPr>
          <w:sz w:val="30"/>
          <w:szCs w:val="30"/>
        </w:rPr>
        <w:tab/>
        <w:t>Осуществлялось межведомственное взаимодействие по вопросам предупреждения зоонозных инфекций (сибирской язвы и бешенства).</w:t>
      </w:r>
    </w:p>
    <w:p w:rsidR="00C02F81" w:rsidRPr="004A4595" w:rsidRDefault="00C02F81" w:rsidP="004A4595">
      <w:pPr>
        <w:tabs>
          <w:tab w:val="left" w:pos="709"/>
          <w:tab w:val="left" w:pos="1134"/>
        </w:tabs>
        <w:jc w:val="both"/>
        <w:rPr>
          <w:sz w:val="30"/>
          <w:szCs w:val="30"/>
        </w:rPr>
      </w:pPr>
      <w:r w:rsidRPr="004A4595">
        <w:rPr>
          <w:sz w:val="30"/>
          <w:szCs w:val="30"/>
        </w:rPr>
        <w:tab/>
        <w:t xml:space="preserve">В связи с эпизоотической ситуацией (в 2024 году в регионе не зарегистрировано случаев бешенства животных) вопросы профилактики бешенства продолжают оставаться актуальными и решаются во взаимодействии с немедицинскими службами (ветеринарной, жилищно-коммунальной, органами внутренних дел и др.). Это изъятие безнадзорных </w:t>
      </w:r>
      <w:r w:rsidRPr="004A4595">
        <w:rPr>
          <w:sz w:val="30"/>
          <w:szCs w:val="30"/>
        </w:rPr>
        <w:lastRenderedPageBreak/>
        <w:t xml:space="preserve">животных с территорий населенных пунктов, контроль за соблюдением владельцами правил содержания домашних животных, иммунизация домашних и диких животных. </w:t>
      </w:r>
      <w:proofErr w:type="spellStart"/>
      <w:r w:rsidRPr="004A4595">
        <w:rPr>
          <w:sz w:val="30"/>
          <w:szCs w:val="30"/>
        </w:rPr>
        <w:t>Каменецким</w:t>
      </w:r>
      <w:proofErr w:type="spellEnd"/>
      <w:r w:rsidR="004A4595">
        <w:rPr>
          <w:sz w:val="30"/>
          <w:szCs w:val="30"/>
        </w:rPr>
        <w:t xml:space="preserve"> районным </w:t>
      </w:r>
      <w:proofErr w:type="spellStart"/>
      <w:r w:rsidR="004A4595">
        <w:rPr>
          <w:sz w:val="30"/>
          <w:szCs w:val="30"/>
        </w:rPr>
        <w:t>ЦГиЭ</w:t>
      </w:r>
      <w:proofErr w:type="spellEnd"/>
      <w:r w:rsidR="004A4595">
        <w:rPr>
          <w:sz w:val="30"/>
          <w:szCs w:val="30"/>
        </w:rPr>
        <w:t xml:space="preserve"> </w:t>
      </w:r>
      <w:r w:rsidRPr="004A4595">
        <w:rPr>
          <w:sz w:val="30"/>
          <w:szCs w:val="30"/>
        </w:rPr>
        <w:t>осуществлялся контроль за оказан</w:t>
      </w:r>
      <w:r w:rsidR="00C16B4D">
        <w:rPr>
          <w:sz w:val="30"/>
          <w:szCs w:val="30"/>
        </w:rPr>
        <w:t>ием антирабической помощи лиц. В УЗ «</w:t>
      </w:r>
      <w:proofErr w:type="spellStart"/>
      <w:r w:rsidR="00C16B4D">
        <w:rPr>
          <w:sz w:val="30"/>
          <w:szCs w:val="30"/>
        </w:rPr>
        <w:t>Каменец</w:t>
      </w:r>
      <w:r w:rsidRPr="004A4595">
        <w:rPr>
          <w:sz w:val="30"/>
          <w:szCs w:val="30"/>
        </w:rPr>
        <w:t>кая</w:t>
      </w:r>
      <w:proofErr w:type="spellEnd"/>
      <w:r w:rsidRPr="004A4595">
        <w:rPr>
          <w:sz w:val="30"/>
          <w:szCs w:val="30"/>
        </w:rPr>
        <w:t xml:space="preserve"> ЦРБ в </w:t>
      </w:r>
      <w:r w:rsidR="00C16B4D">
        <w:rPr>
          <w:sz w:val="30"/>
          <w:szCs w:val="30"/>
        </w:rPr>
        <w:t>2024 году обратились</w:t>
      </w:r>
      <w:r w:rsidR="008610F5">
        <w:rPr>
          <w:sz w:val="30"/>
          <w:szCs w:val="30"/>
        </w:rPr>
        <w:t xml:space="preserve"> 65 </w:t>
      </w:r>
      <w:r w:rsidRPr="004A4595">
        <w:rPr>
          <w:sz w:val="30"/>
          <w:szCs w:val="30"/>
        </w:rPr>
        <w:t>пострадавших от укусов животных, в</w:t>
      </w:r>
      <w:r w:rsidR="00C16B4D">
        <w:rPr>
          <w:sz w:val="30"/>
          <w:szCs w:val="30"/>
        </w:rPr>
        <w:t xml:space="preserve"> 2023 году –</w:t>
      </w:r>
      <w:r w:rsidR="008610F5">
        <w:rPr>
          <w:sz w:val="30"/>
          <w:szCs w:val="30"/>
        </w:rPr>
        <w:t>70 человек</w:t>
      </w:r>
      <w:r w:rsidR="002F4387">
        <w:rPr>
          <w:sz w:val="30"/>
          <w:szCs w:val="30"/>
        </w:rPr>
        <w:t>.</w:t>
      </w:r>
    </w:p>
    <w:p w:rsidR="00C02F81" w:rsidRPr="004A4595" w:rsidRDefault="00C02F81" w:rsidP="004A4595">
      <w:pPr>
        <w:tabs>
          <w:tab w:val="left" w:pos="709"/>
          <w:tab w:val="left" w:pos="1134"/>
        </w:tabs>
        <w:jc w:val="both"/>
        <w:rPr>
          <w:sz w:val="30"/>
          <w:szCs w:val="30"/>
        </w:rPr>
      </w:pPr>
      <w:r w:rsidRPr="004A4595">
        <w:rPr>
          <w:sz w:val="30"/>
          <w:szCs w:val="30"/>
        </w:rPr>
        <w:tab/>
        <w:t xml:space="preserve">Проводится информационно-образовательная работа с населением через средства массовой информации и с задействованием </w:t>
      </w:r>
      <w:r w:rsidR="008610F5" w:rsidRPr="004A4595">
        <w:rPr>
          <w:sz w:val="30"/>
          <w:szCs w:val="30"/>
        </w:rPr>
        <w:t>Интернет-ресурсов</w:t>
      </w:r>
      <w:r w:rsidRPr="004A4595">
        <w:rPr>
          <w:sz w:val="30"/>
          <w:szCs w:val="30"/>
        </w:rPr>
        <w:t>. При освещении вопросов санитарной охраны территории в первую очередь осуществлялось информирование об эпидемиологической ситуации за рубежом и мерах профилактики инфекционных заболеваний.</w:t>
      </w:r>
    </w:p>
    <w:p w:rsidR="00C02F81" w:rsidRPr="004A4595" w:rsidRDefault="00C16B4D" w:rsidP="004A4595">
      <w:pPr>
        <w:tabs>
          <w:tab w:val="left" w:pos="709"/>
          <w:tab w:val="left" w:pos="1134"/>
        </w:tabs>
        <w:jc w:val="both"/>
        <w:rPr>
          <w:sz w:val="30"/>
          <w:szCs w:val="30"/>
        </w:rPr>
      </w:pPr>
      <w:r>
        <w:rPr>
          <w:sz w:val="30"/>
          <w:szCs w:val="30"/>
        </w:rPr>
        <w:tab/>
      </w:r>
      <w:r w:rsidR="00C02F81" w:rsidRPr="004A4595">
        <w:rPr>
          <w:sz w:val="30"/>
          <w:szCs w:val="30"/>
        </w:rPr>
        <w:t xml:space="preserve">В результате проводимой целенаправленной работы за последние годы не регистрировались случаи заболеваний, а также чрезвычайные ситуации, связанные с радиационным и химическим факторами и требующие проведения мероприятий по санитарной охране территории. </w:t>
      </w:r>
    </w:p>
    <w:p w:rsidR="00C02F81" w:rsidRPr="004A4595" w:rsidRDefault="00C16B4D" w:rsidP="004A4595">
      <w:pPr>
        <w:tabs>
          <w:tab w:val="left" w:pos="709"/>
          <w:tab w:val="left" w:pos="1134"/>
        </w:tabs>
        <w:jc w:val="both"/>
        <w:rPr>
          <w:sz w:val="30"/>
          <w:szCs w:val="30"/>
        </w:rPr>
      </w:pPr>
      <w:r>
        <w:rPr>
          <w:sz w:val="30"/>
          <w:szCs w:val="30"/>
        </w:rPr>
        <w:tab/>
        <w:t xml:space="preserve">В </w:t>
      </w:r>
      <w:proofErr w:type="spellStart"/>
      <w:r>
        <w:rPr>
          <w:sz w:val="30"/>
          <w:szCs w:val="30"/>
        </w:rPr>
        <w:t>Каменецком</w:t>
      </w:r>
      <w:proofErr w:type="spellEnd"/>
      <w:r w:rsidR="00C02F81" w:rsidRPr="004A4595">
        <w:rPr>
          <w:sz w:val="30"/>
          <w:szCs w:val="30"/>
        </w:rPr>
        <w:t xml:space="preserve"> районе обеспечена готовность к реагированию на чрезвычайные ситуации в соответствии с Международными медико-санитарными правилами, что позволяет сделать вывод о стабильной ситуации по реализации показателя 3.d.1 в достижении целей устойчивого развития.</w:t>
      </w:r>
    </w:p>
    <w:p w:rsidR="00D873EE" w:rsidRPr="00036BA7" w:rsidRDefault="00D873EE" w:rsidP="00D873EE">
      <w:pPr>
        <w:ind w:firstLine="708"/>
        <w:jc w:val="both"/>
        <w:rPr>
          <w:sz w:val="30"/>
          <w:szCs w:val="30"/>
        </w:rPr>
      </w:pPr>
      <w:r w:rsidRPr="00036BA7">
        <w:rPr>
          <w:sz w:val="30"/>
          <w:szCs w:val="30"/>
        </w:rPr>
        <w:t>В 2024</w:t>
      </w:r>
      <w:r>
        <w:rPr>
          <w:sz w:val="30"/>
          <w:szCs w:val="30"/>
        </w:rPr>
        <w:t xml:space="preserve"> году </w:t>
      </w:r>
      <w:proofErr w:type="spellStart"/>
      <w:r>
        <w:rPr>
          <w:sz w:val="30"/>
          <w:szCs w:val="30"/>
        </w:rPr>
        <w:t>Каменецком</w:t>
      </w:r>
      <w:proofErr w:type="spellEnd"/>
      <w:r>
        <w:rPr>
          <w:sz w:val="30"/>
          <w:szCs w:val="30"/>
        </w:rPr>
        <w:t xml:space="preserve"> районе</w:t>
      </w:r>
      <w:r w:rsidRPr="00036BA7">
        <w:rPr>
          <w:sz w:val="30"/>
          <w:szCs w:val="30"/>
        </w:rPr>
        <w:t xml:space="preserve"> и совместно с заинтересованными ведомствами проведены следующие меропр</w:t>
      </w:r>
      <w:r w:rsidRPr="00036BA7">
        <w:rPr>
          <w:sz w:val="30"/>
          <w:szCs w:val="30"/>
        </w:rPr>
        <w:t>и</w:t>
      </w:r>
      <w:r w:rsidRPr="00036BA7">
        <w:rPr>
          <w:sz w:val="30"/>
          <w:szCs w:val="30"/>
        </w:rPr>
        <w:t xml:space="preserve">ятия по ЗОЖ: </w:t>
      </w:r>
    </w:p>
    <w:p w:rsidR="00D873EE" w:rsidRPr="00036BA7" w:rsidRDefault="00D873EE" w:rsidP="00D873EE">
      <w:pPr>
        <w:ind w:firstLine="708"/>
        <w:jc w:val="both"/>
        <w:rPr>
          <w:sz w:val="30"/>
          <w:szCs w:val="30"/>
        </w:rPr>
      </w:pPr>
      <w:r w:rsidRPr="00036BA7">
        <w:rPr>
          <w:sz w:val="30"/>
          <w:szCs w:val="30"/>
        </w:rPr>
        <w:t xml:space="preserve">-обучение кадров: семинары 16 с охватом 516 человек; </w:t>
      </w:r>
    </w:p>
    <w:p w:rsidR="00D873EE" w:rsidRPr="00036BA7" w:rsidRDefault="00D873EE" w:rsidP="00D873EE">
      <w:pPr>
        <w:ind w:firstLine="708"/>
        <w:jc w:val="both"/>
        <w:rPr>
          <w:sz w:val="30"/>
          <w:szCs w:val="30"/>
        </w:rPr>
      </w:pPr>
      <w:r w:rsidRPr="00036BA7">
        <w:rPr>
          <w:sz w:val="30"/>
          <w:szCs w:val="30"/>
        </w:rPr>
        <w:t>-консультативная работа (групповые, индивидуальные и по телефону), 52 с охватом 131 человек;</w:t>
      </w:r>
    </w:p>
    <w:p w:rsidR="00D873EE" w:rsidRPr="00036BA7" w:rsidRDefault="00D873EE" w:rsidP="00D873EE">
      <w:pPr>
        <w:ind w:firstLine="708"/>
        <w:jc w:val="both"/>
        <w:rPr>
          <w:sz w:val="30"/>
          <w:szCs w:val="30"/>
        </w:rPr>
      </w:pPr>
      <w:r w:rsidRPr="00036BA7">
        <w:rPr>
          <w:sz w:val="30"/>
          <w:szCs w:val="30"/>
        </w:rPr>
        <w:t>- в ходе реализации девяти государственных профилактических проектов («Школа – территория здоровья», «Школьное питание – здоровое и раци</w:t>
      </w:r>
      <w:r w:rsidRPr="00036BA7">
        <w:rPr>
          <w:sz w:val="30"/>
          <w:szCs w:val="30"/>
        </w:rPr>
        <w:t>о</w:t>
      </w:r>
      <w:r w:rsidRPr="00036BA7">
        <w:rPr>
          <w:sz w:val="30"/>
          <w:szCs w:val="30"/>
        </w:rPr>
        <w:t>нальное!», «Мы за здоровый и безопасный отдых!», «Мой выбор – жить с п</w:t>
      </w:r>
      <w:r w:rsidRPr="00036BA7">
        <w:rPr>
          <w:sz w:val="30"/>
          <w:szCs w:val="30"/>
        </w:rPr>
        <w:t>о</w:t>
      </w:r>
      <w:r w:rsidRPr="00036BA7">
        <w:rPr>
          <w:sz w:val="30"/>
          <w:szCs w:val="30"/>
        </w:rPr>
        <w:t>зитивом!», «Здоровое сердце – залог успеха!», «В защиту жизни!» «Предо</w:t>
      </w:r>
      <w:r w:rsidRPr="00036BA7">
        <w:rPr>
          <w:sz w:val="30"/>
          <w:szCs w:val="30"/>
        </w:rPr>
        <w:t>т</w:t>
      </w:r>
      <w:r w:rsidRPr="00036BA7">
        <w:rPr>
          <w:sz w:val="30"/>
          <w:szCs w:val="30"/>
        </w:rPr>
        <w:t xml:space="preserve">врати болезнь –выбери жизнь», «Каменец – здоровый город», «Беловежский – здоровый </w:t>
      </w:r>
      <w:proofErr w:type="spellStart"/>
      <w:r w:rsidRPr="00036BA7">
        <w:rPr>
          <w:sz w:val="30"/>
          <w:szCs w:val="30"/>
        </w:rPr>
        <w:t>агрогородок</w:t>
      </w:r>
      <w:proofErr w:type="spellEnd"/>
      <w:r w:rsidRPr="00036BA7">
        <w:rPr>
          <w:sz w:val="30"/>
          <w:szCs w:val="30"/>
        </w:rPr>
        <w:t>») проведены следующие мероприятия: акций</w:t>
      </w:r>
      <w:r>
        <w:rPr>
          <w:sz w:val="30"/>
          <w:szCs w:val="30"/>
        </w:rPr>
        <w:t xml:space="preserve"> – 59 с охватом –2084</w:t>
      </w:r>
      <w:r w:rsidRPr="00036BA7">
        <w:rPr>
          <w:sz w:val="30"/>
          <w:szCs w:val="30"/>
        </w:rPr>
        <w:t xml:space="preserve"> чел., лекций – </w:t>
      </w:r>
      <w:r>
        <w:rPr>
          <w:sz w:val="30"/>
          <w:szCs w:val="30"/>
        </w:rPr>
        <w:t>1344</w:t>
      </w:r>
      <w:r w:rsidRPr="00036BA7">
        <w:rPr>
          <w:sz w:val="30"/>
          <w:szCs w:val="30"/>
        </w:rPr>
        <w:t xml:space="preserve"> с охватом</w:t>
      </w:r>
      <w:r>
        <w:rPr>
          <w:sz w:val="30"/>
          <w:szCs w:val="30"/>
        </w:rPr>
        <w:t xml:space="preserve"> – 24423</w:t>
      </w:r>
      <w:r w:rsidRPr="00036BA7">
        <w:rPr>
          <w:sz w:val="30"/>
          <w:szCs w:val="30"/>
        </w:rPr>
        <w:t xml:space="preserve"> чел., беседы –</w:t>
      </w:r>
      <w:r>
        <w:rPr>
          <w:sz w:val="30"/>
          <w:szCs w:val="30"/>
        </w:rPr>
        <w:t>2620</w:t>
      </w:r>
      <w:r w:rsidRPr="00036BA7">
        <w:rPr>
          <w:sz w:val="30"/>
          <w:szCs w:val="30"/>
        </w:rPr>
        <w:t xml:space="preserve"> с охватом</w:t>
      </w:r>
      <w:r>
        <w:rPr>
          <w:sz w:val="30"/>
          <w:szCs w:val="30"/>
        </w:rPr>
        <w:t xml:space="preserve"> </w:t>
      </w:r>
      <w:r w:rsidR="00BC3F37">
        <w:rPr>
          <w:sz w:val="30"/>
          <w:szCs w:val="30"/>
        </w:rPr>
        <w:t>22146</w:t>
      </w:r>
      <w:r w:rsidRPr="00036BA7">
        <w:rPr>
          <w:sz w:val="30"/>
          <w:szCs w:val="30"/>
        </w:rPr>
        <w:t xml:space="preserve"> чел.;</w:t>
      </w:r>
    </w:p>
    <w:p w:rsidR="00D873EE" w:rsidRPr="00036BA7" w:rsidRDefault="00D873EE" w:rsidP="00D873EE">
      <w:pPr>
        <w:ind w:firstLine="708"/>
        <w:jc w:val="both"/>
        <w:rPr>
          <w:sz w:val="30"/>
          <w:szCs w:val="30"/>
        </w:rPr>
      </w:pPr>
      <w:r w:rsidRPr="00036BA7">
        <w:rPr>
          <w:sz w:val="30"/>
          <w:szCs w:val="30"/>
        </w:rPr>
        <w:t xml:space="preserve">-оформлены </w:t>
      </w:r>
      <w:r w:rsidR="00BC3F37">
        <w:rPr>
          <w:sz w:val="30"/>
          <w:szCs w:val="30"/>
        </w:rPr>
        <w:t>информационные стенды – 764</w:t>
      </w:r>
      <w:r w:rsidRPr="00036BA7">
        <w:rPr>
          <w:sz w:val="30"/>
          <w:szCs w:val="30"/>
        </w:rPr>
        <w:t>;</w:t>
      </w:r>
    </w:p>
    <w:p w:rsidR="00D873EE" w:rsidRPr="00036BA7" w:rsidRDefault="00D873EE" w:rsidP="00D873EE">
      <w:pPr>
        <w:ind w:firstLine="708"/>
        <w:jc w:val="both"/>
        <w:rPr>
          <w:sz w:val="30"/>
          <w:szCs w:val="30"/>
        </w:rPr>
      </w:pPr>
      <w:r w:rsidRPr="00036BA7">
        <w:rPr>
          <w:sz w:val="30"/>
          <w:szCs w:val="30"/>
        </w:rPr>
        <w:t>- трансляция видеороликов в рамках мероприятий – 8;</w:t>
      </w:r>
    </w:p>
    <w:p w:rsidR="00D873EE" w:rsidRPr="00036BA7" w:rsidRDefault="00D873EE" w:rsidP="00D873EE">
      <w:pPr>
        <w:ind w:firstLine="708"/>
        <w:jc w:val="both"/>
        <w:rPr>
          <w:sz w:val="30"/>
          <w:szCs w:val="30"/>
        </w:rPr>
      </w:pPr>
      <w:r w:rsidRPr="00036BA7">
        <w:rPr>
          <w:sz w:val="30"/>
          <w:szCs w:val="30"/>
        </w:rPr>
        <w:t>- опубликованы статьи в печати газеты «</w:t>
      </w:r>
      <w:proofErr w:type="spellStart"/>
      <w:r w:rsidRPr="00036BA7">
        <w:rPr>
          <w:sz w:val="30"/>
          <w:szCs w:val="30"/>
        </w:rPr>
        <w:t>Нав</w:t>
      </w:r>
      <w:r w:rsidRPr="00036BA7">
        <w:rPr>
          <w:sz w:val="30"/>
          <w:szCs w:val="30"/>
          <w:lang w:val="en-US"/>
        </w:rPr>
        <w:t>i</w:t>
      </w:r>
      <w:r w:rsidR="00BC3F37">
        <w:rPr>
          <w:sz w:val="30"/>
          <w:szCs w:val="30"/>
        </w:rPr>
        <w:t>ны</w:t>
      </w:r>
      <w:proofErr w:type="spellEnd"/>
      <w:r w:rsidR="00BC3F37">
        <w:rPr>
          <w:sz w:val="30"/>
          <w:szCs w:val="30"/>
        </w:rPr>
        <w:t xml:space="preserve"> </w:t>
      </w:r>
      <w:proofErr w:type="spellStart"/>
      <w:r w:rsidR="00BC3F37">
        <w:rPr>
          <w:sz w:val="30"/>
          <w:szCs w:val="30"/>
        </w:rPr>
        <w:t>Камянеччыны</w:t>
      </w:r>
      <w:proofErr w:type="spellEnd"/>
      <w:r w:rsidR="00BC3F37">
        <w:rPr>
          <w:sz w:val="30"/>
          <w:szCs w:val="30"/>
        </w:rPr>
        <w:t>» – 70</w:t>
      </w:r>
      <w:r w:rsidRPr="00036BA7">
        <w:rPr>
          <w:sz w:val="30"/>
          <w:szCs w:val="30"/>
        </w:rPr>
        <w:t>;</w:t>
      </w:r>
    </w:p>
    <w:p w:rsidR="00D873EE" w:rsidRPr="00036BA7" w:rsidRDefault="00D873EE" w:rsidP="00D873EE">
      <w:pPr>
        <w:ind w:firstLine="708"/>
        <w:jc w:val="both"/>
        <w:rPr>
          <w:sz w:val="30"/>
          <w:szCs w:val="30"/>
        </w:rPr>
      </w:pPr>
      <w:r w:rsidRPr="00036BA7">
        <w:rPr>
          <w:sz w:val="30"/>
          <w:szCs w:val="30"/>
        </w:rPr>
        <w:t>- размещение инфор</w:t>
      </w:r>
      <w:r w:rsidR="00BC3F37">
        <w:rPr>
          <w:sz w:val="30"/>
          <w:szCs w:val="30"/>
        </w:rPr>
        <w:t>мации на сайте (СМИ и др.) – 517</w:t>
      </w:r>
      <w:r w:rsidRPr="00036BA7">
        <w:rPr>
          <w:sz w:val="30"/>
          <w:szCs w:val="30"/>
        </w:rPr>
        <w:t>;</w:t>
      </w:r>
    </w:p>
    <w:p w:rsidR="00D873EE" w:rsidRPr="00036BA7" w:rsidRDefault="00D873EE" w:rsidP="00D873EE">
      <w:pPr>
        <w:ind w:firstLine="708"/>
        <w:jc w:val="both"/>
        <w:rPr>
          <w:sz w:val="30"/>
          <w:szCs w:val="30"/>
        </w:rPr>
      </w:pPr>
      <w:r w:rsidRPr="00036BA7">
        <w:rPr>
          <w:sz w:val="30"/>
          <w:szCs w:val="30"/>
        </w:rPr>
        <w:t>- распространены информационно-образовательные материалы</w:t>
      </w:r>
      <w:r w:rsidR="00BC3F37">
        <w:rPr>
          <w:sz w:val="30"/>
          <w:szCs w:val="30"/>
        </w:rPr>
        <w:t xml:space="preserve"> – 75126</w:t>
      </w:r>
      <w:r w:rsidRPr="00036BA7">
        <w:rPr>
          <w:sz w:val="30"/>
          <w:szCs w:val="30"/>
        </w:rPr>
        <w:t xml:space="preserve"> экз., буклеты, листовки и памятки по проблемам алкогольной, никот</w:t>
      </w:r>
      <w:r w:rsidRPr="00036BA7">
        <w:rPr>
          <w:sz w:val="30"/>
          <w:szCs w:val="30"/>
        </w:rPr>
        <w:t>и</w:t>
      </w:r>
      <w:r w:rsidRPr="00036BA7">
        <w:rPr>
          <w:sz w:val="30"/>
          <w:szCs w:val="30"/>
        </w:rPr>
        <w:t>новой зависимостей, профилакт</w:t>
      </w:r>
      <w:r w:rsidR="00BC3F37">
        <w:rPr>
          <w:sz w:val="30"/>
          <w:szCs w:val="30"/>
        </w:rPr>
        <w:t>ике неинфекционных заболеваний,</w:t>
      </w:r>
      <w:r w:rsidRPr="00036BA7">
        <w:rPr>
          <w:sz w:val="30"/>
          <w:szCs w:val="30"/>
        </w:rPr>
        <w:t xml:space="preserve"> ЗОЖ</w:t>
      </w:r>
      <w:r w:rsidR="00BC3F37">
        <w:rPr>
          <w:sz w:val="30"/>
          <w:szCs w:val="30"/>
        </w:rPr>
        <w:t xml:space="preserve"> и «Здоровые города и поселки»;</w:t>
      </w:r>
    </w:p>
    <w:p w:rsidR="00D873EE" w:rsidRPr="00036BA7" w:rsidRDefault="00D873EE" w:rsidP="00D873EE">
      <w:pPr>
        <w:ind w:firstLine="708"/>
        <w:jc w:val="both"/>
        <w:rPr>
          <w:sz w:val="30"/>
          <w:szCs w:val="30"/>
        </w:rPr>
      </w:pPr>
      <w:r w:rsidRPr="00036BA7">
        <w:rPr>
          <w:sz w:val="30"/>
          <w:szCs w:val="30"/>
        </w:rPr>
        <w:t xml:space="preserve">- районный конкурс рисунка и плаката - 4 декабря 2024 года в «Районной центральной библиотеке им. </w:t>
      </w:r>
      <w:proofErr w:type="spellStart"/>
      <w:r w:rsidRPr="00036BA7">
        <w:rPr>
          <w:sz w:val="30"/>
          <w:szCs w:val="30"/>
        </w:rPr>
        <w:t>В.М.Игнатовского</w:t>
      </w:r>
      <w:proofErr w:type="spellEnd"/>
      <w:r w:rsidRPr="00036BA7">
        <w:rPr>
          <w:sz w:val="30"/>
          <w:szCs w:val="30"/>
        </w:rPr>
        <w:t xml:space="preserve">» проведена районная выставка рисунков и плакатов, ко всемирному дню профилактики ВИЧ-инфекции.  В выставке приняли участие 44 человека, а 6 декабря все работы были переданы в ГУ «Брестский областной центр гигиены, эпидемиологии и общественного </w:t>
      </w:r>
      <w:r w:rsidRPr="00036BA7">
        <w:rPr>
          <w:sz w:val="30"/>
          <w:szCs w:val="30"/>
        </w:rPr>
        <w:lastRenderedPageBreak/>
        <w:t>здоровья», для принятия участия в областном конкурсе.</w:t>
      </w:r>
    </w:p>
    <w:p w:rsidR="00D873EE" w:rsidRPr="00036BA7" w:rsidRDefault="00D873EE" w:rsidP="00D873EE">
      <w:pPr>
        <w:rPr>
          <w:sz w:val="30"/>
          <w:szCs w:val="30"/>
          <w:lang w:eastAsia="en-US"/>
        </w:rPr>
      </w:pPr>
      <w:r w:rsidRPr="00036BA7">
        <w:rPr>
          <w:sz w:val="30"/>
          <w:szCs w:val="30"/>
        </w:rPr>
        <w:tab/>
      </w:r>
      <w:r w:rsidRPr="00036BA7">
        <w:rPr>
          <w:sz w:val="30"/>
          <w:szCs w:val="30"/>
          <w:lang w:eastAsia="en-US"/>
        </w:rPr>
        <w:t>В соответствии с решением Главы государства с 2019 г. в Республике Б</w:t>
      </w:r>
      <w:r w:rsidRPr="00036BA7">
        <w:rPr>
          <w:sz w:val="30"/>
          <w:szCs w:val="30"/>
          <w:lang w:eastAsia="en-US"/>
        </w:rPr>
        <w:t>е</w:t>
      </w:r>
      <w:r w:rsidRPr="00036BA7">
        <w:rPr>
          <w:sz w:val="30"/>
          <w:szCs w:val="30"/>
          <w:lang w:eastAsia="en-US"/>
        </w:rPr>
        <w:t>ларусь реализуется государственный профилактический проект «Здоровые г</w:t>
      </w:r>
      <w:r w:rsidRPr="00036BA7">
        <w:rPr>
          <w:sz w:val="30"/>
          <w:szCs w:val="30"/>
          <w:lang w:eastAsia="en-US"/>
        </w:rPr>
        <w:t>о</w:t>
      </w:r>
      <w:r w:rsidRPr="00036BA7">
        <w:rPr>
          <w:sz w:val="30"/>
          <w:szCs w:val="30"/>
          <w:lang w:eastAsia="en-US"/>
        </w:rPr>
        <w:t>рода и поселки», направленный на оптимизацию муниципального управления в интересах укрепления з</w:t>
      </w:r>
      <w:r w:rsidR="00BC3F37">
        <w:rPr>
          <w:sz w:val="30"/>
          <w:szCs w:val="30"/>
          <w:lang w:eastAsia="en-US"/>
        </w:rPr>
        <w:t>доровья проживающего населения.</w:t>
      </w:r>
    </w:p>
    <w:p w:rsidR="00D873EE" w:rsidRPr="00036BA7" w:rsidRDefault="00D873EE" w:rsidP="00D873EE">
      <w:pPr>
        <w:shd w:val="clear" w:color="auto" w:fill="FFFFFF"/>
        <w:suppressAutoHyphens/>
        <w:ind w:firstLine="709"/>
        <w:jc w:val="both"/>
        <w:rPr>
          <w:sz w:val="30"/>
          <w:szCs w:val="30"/>
        </w:rPr>
      </w:pPr>
      <w:r w:rsidRPr="00036BA7">
        <w:rPr>
          <w:sz w:val="30"/>
          <w:szCs w:val="30"/>
          <w:lang w:eastAsia="en-US"/>
        </w:rPr>
        <w:t xml:space="preserve">В рамках целенаправленного развития понимания о здоровье общества и его значении в развитии </w:t>
      </w:r>
      <w:r w:rsidRPr="00036BA7">
        <w:rPr>
          <w:sz w:val="30"/>
          <w:szCs w:val="30"/>
        </w:rPr>
        <w:t xml:space="preserve">на территории Каменецкого района в 2024 году ведется работа по реализации двух государственных профилактических проектов: «Беловежский – здоровый </w:t>
      </w:r>
      <w:proofErr w:type="spellStart"/>
      <w:r w:rsidRPr="00036BA7">
        <w:rPr>
          <w:sz w:val="30"/>
          <w:szCs w:val="30"/>
        </w:rPr>
        <w:t>агрогородок</w:t>
      </w:r>
      <w:proofErr w:type="spellEnd"/>
      <w:r w:rsidRPr="00036BA7">
        <w:rPr>
          <w:sz w:val="30"/>
          <w:szCs w:val="30"/>
        </w:rPr>
        <w:t xml:space="preserve">» утвержденный решением Каменецкого районного исполнительного комитета от 10 декабря 2019 года №1765 и «Каменец – здоровый город» утвержденный решением Каменецкого районного исполнительного комитета от 13 июня 2023 года № 995. Данными решениями утверждены паспорт проекта, профиль, состав координационного совета, состав рабочей группы управления проектом, и комплексный план мероприятий по реализации Программы деятельности национальной сети «Здоровые города и поселки» на административной территории Каменецкого района в том числе включающий в себя ряд мероприятий, направленных на здоровый образ жизни, контроль за неинфекционными заболеваниями, предупреждению и профилактике пьянства, алкоголизма наркомании и потреблении табачного сырья и табачных изделий. Реализация проекта осуществляется согласно комплексному плану «Здоровые города и поселки» 2024-2025гг. </w:t>
      </w:r>
    </w:p>
    <w:p w:rsidR="00D873EE" w:rsidRPr="00036BA7" w:rsidRDefault="00D873EE" w:rsidP="00D873EE">
      <w:pPr>
        <w:ind w:firstLine="709"/>
        <w:jc w:val="both"/>
        <w:rPr>
          <w:bCs/>
          <w:iCs/>
          <w:sz w:val="30"/>
          <w:szCs w:val="30"/>
        </w:rPr>
      </w:pPr>
      <w:r w:rsidRPr="00036BA7">
        <w:rPr>
          <w:sz w:val="30"/>
          <w:szCs w:val="30"/>
        </w:rPr>
        <w:t xml:space="preserve">В соответствии с утвержденными </w:t>
      </w:r>
      <w:r w:rsidRPr="00036BA7">
        <w:rPr>
          <w:bCs/>
          <w:iCs/>
          <w:sz w:val="30"/>
          <w:szCs w:val="30"/>
        </w:rPr>
        <w:t xml:space="preserve">планами мероприятий по реализации Программы деятельности национальной сети «Здоровые города и поселки» на территории Каменецкого района в рамках проекта «Беловежский – здоровый </w:t>
      </w:r>
      <w:proofErr w:type="spellStart"/>
      <w:r w:rsidRPr="00036BA7">
        <w:rPr>
          <w:bCs/>
          <w:iCs/>
          <w:sz w:val="30"/>
          <w:szCs w:val="30"/>
        </w:rPr>
        <w:t>агрогородок</w:t>
      </w:r>
      <w:proofErr w:type="spellEnd"/>
      <w:r w:rsidRPr="00036BA7">
        <w:rPr>
          <w:bCs/>
          <w:iCs/>
          <w:sz w:val="30"/>
          <w:szCs w:val="30"/>
        </w:rPr>
        <w:t>» на 2024-2025 годы и проекта «Каменец – здоровый город» на 2024-2025 годы проводится работа по следующим направлениям:</w:t>
      </w:r>
    </w:p>
    <w:p w:rsidR="00D873EE" w:rsidRPr="00036BA7" w:rsidRDefault="00D873EE" w:rsidP="00D873EE">
      <w:pPr>
        <w:ind w:firstLine="709"/>
        <w:jc w:val="both"/>
        <w:rPr>
          <w:bCs/>
          <w:iCs/>
          <w:sz w:val="30"/>
          <w:szCs w:val="30"/>
        </w:rPr>
      </w:pPr>
      <w:r w:rsidRPr="00036BA7">
        <w:rPr>
          <w:bCs/>
          <w:iCs/>
          <w:sz w:val="30"/>
          <w:szCs w:val="30"/>
        </w:rPr>
        <w:t>- создание адаптированной к потребностям граждан инфраструктуры и благоприятной среды жизнедеятельности;</w:t>
      </w:r>
    </w:p>
    <w:p w:rsidR="00D873EE" w:rsidRPr="00036BA7" w:rsidRDefault="00D873EE" w:rsidP="00D873EE">
      <w:pPr>
        <w:ind w:firstLine="708"/>
        <w:jc w:val="both"/>
        <w:rPr>
          <w:sz w:val="30"/>
          <w:szCs w:val="30"/>
        </w:rPr>
      </w:pPr>
      <w:r w:rsidRPr="00036BA7">
        <w:rPr>
          <w:sz w:val="30"/>
          <w:szCs w:val="30"/>
        </w:rPr>
        <w:t>- развитие учреждений образования с внедрением организационно-структурных элементов, обеспечивающих сохранение и укрепление здоровья детей и подростков;</w:t>
      </w:r>
    </w:p>
    <w:p w:rsidR="00D873EE" w:rsidRPr="00036BA7" w:rsidRDefault="00D873EE" w:rsidP="00D873EE">
      <w:pPr>
        <w:ind w:firstLine="708"/>
        <w:jc w:val="both"/>
        <w:rPr>
          <w:sz w:val="30"/>
          <w:szCs w:val="30"/>
        </w:rPr>
      </w:pPr>
      <w:r w:rsidRPr="00036BA7">
        <w:rPr>
          <w:sz w:val="30"/>
          <w:szCs w:val="30"/>
        </w:rPr>
        <w:t>- улучшение условий труда на рабочих местах предприятий/организаций, создание условий для улучшения индивидуального и профессионального (ф</w:t>
      </w:r>
      <w:r w:rsidRPr="00036BA7">
        <w:rPr>
          <w:sz w:val="30"/>
          <w:szCs w:val="30"/>
        </w:rPr>
        <w:t>и</w:t>
      </w:r>
      <w:r w:rsidRPr="00036BA7">
        <w:rPr>
          <w:sz w:val="30"/>
          <w:szCs w:val="30"/>
        </w:rPr>
        <w:t>зического, психологического и социального) здоровья работников, повышения их работоспособности, продуктивности и стрессоустойчивости, применение различных форм материального стимулирования работников, приверженных здоровому образу жизни;</w:t>
      </w:r>
    </w:p>
    <w:p w:rsidR="00D873EE" w:rsidRPr="00036BA7" w:rsidRDefault="00D873EE" w:rsidP="00D873EE">
      <w:pPr>
        <w:ind w:firstLine="708"/>
        <w:jc w:val="both"/>
        <w:rPr>
          <w:sz w:val="30"/>
          <w:szCs w:val="30"/>
        </w:rPr>
      </w:pPr>
      <w:r w:rsidRPr="00036BA7">
        <w:rPr>
          <w:sz w:val="30"/>
          <w:szCs w:val="30"/>
        </w:rPr>
        <w:t>- снижение уровня распространенности поведенческих факторов риска развития неинфекционных заболеваний, в том числе среди молодежи;</w:t>
      </w:r>
    </w:p>
    <w:p w:rsidR="00D873EE" w:rsidRPr="00036BA7" w:rsidRDefault="00D873EE" w:rsidP="00D873EE">
      <w:pPr>
        <w:ind w:firstLine="708"/>
        <w:jc w:val="both"/>
        <w:rPr>
          <w:sz w:val="30"/>
          <w:szCs w:val="30"/>
        </w:rPr>
      </w:pPr>
      <w:r w:rsidRPr="00036BA7">
        <w:rPr>
          <w:sz w:val="30"/>
          <w:szCs w:val="30"/>
        </w:rPr>
        <w:t>- защита здоровья детей, поддержка института семьи, активное долгол</w:t>
      </w:r>
      <w:r w:rsidRPr="00036BA7">
        <w:rPr>
          <w:sz w:val="30"/>
          <w:szCs w:val="30"/>
        </w:rPr>
        <w:t>е</w:t>
      </w:r>
      <w:r w:rsidRPr="00036BA7">
        <w:rPr>
          <w:sz w:val="30"/>
          <w:szCs w:val="30"/>
        </w:rPr>
        <w:t xml:space="preserve">тие. </w:t>
      </w:r>
    </w:p>
    <w:p w:rsidR="00D873EE" w:rsidRPr="00036BA7" w:rsidRDefault="00D873EE" w:rsidP="00D873EE">
      <w:pPr>
        <w:ind w:firstLine="708"/>
        <w:jc w:val="both"/>
        <w:rPr>
          <w:sz w:val="30"/>
          <w:szCs w:val="30"/>
        </w:rPr>
      </w:pPr>
      <w:r w:rsidRPr="00036BA7">
        <w:rPr>
          <w:sz w:val="30"/>
          <w:szCs w:val="30"/>
        </w:rPr>
        <w:t xml:space="preserve">На основании пункта 1 статьи 40 Закона Республики Беларусь </w:t>
      </w:r>
      <w:r w:rsidRPr="00036BA7">
        <w:rPr>
          <w:sz w:val="30"/>
          <w:szCs w:val="30"/>
        </w:rPr>
        <w:br/>
        <w:t xml:space="preserve">от 4 января </w:t>
      </w:r>
      <w:smartTag w:uri="urn:schemas-microsoft-com:office:smarttags" w:element="metricconverter">
        <w:smartTagPr>
          <w:attr w:name="ProductID" w:val="2010 г"/>
        </w:smartTagPr>
        <w:r w:rsidRPr="00036BA7">
          <w:rPr>
            <w:sz w:val="30"/>
            <w:szCs w:val="30"/>
          </w:rPr>
          <w:t>2010 г</w:t>
        </w:r>
      </w:smartTag>
      <w:r w:rsidRPr="00036BA7">
        <w:rPr>
          <w:sz w:val="30"/>
          <w:szCs w:val="30"/>
        </w:rPr>
        <w:t>. № 108-З «О местном управлении и самоуправлении в Ре</w:t>
      </w:r>
      <w:r w:rsidRPr="00036BA7">
        <w:rPr>
          <w:sz w:val="30"/>
          <w:szCs w:val="30"/>
        </w:rPr>
        <w:t>с</w:t>
      </w:r>
      <w:r w:rsidRPr="00036BA7">
        <w:rPr>
          <w:sz w:val="30"/>
          <w:szCs w:val="30"/>
        </w:rPr>
        <w:t xml:space="preserve">публике Беларусь», в целях реализации мероприятий Государственной </w:t>
      </w:r>
      <w:r w:rsidRPr="00036BA7">
        <w:rPr>
          <w:sz w:val="30"/>
          <w:szCs w:val="30"/>
        </w:rPr>
        <w:lastRenderedPageBreak/>
        <w:t>пр</w:t>
      </w:r>
      <w:r w:rsidRPr="00036BA7">
        <w:rPr>
          <w:sz w:val="30"/>
          <w:szCs w:val="30"/>
        </w:rPr>
        <w:t>о</w:t>
      </w:r>
      <w:r w:rsidRPr="00036BA7">
        <w:rPr>
          <w:sz w:val="30"/>
          <w:szCs w:val="30"/>
        </w:rPr>
        <w:t xml:space="preserve">граммы «Здоровье народа и демографическая безопасность» на 2021 – 2025 годы, утвержденной постановлением Совета Министров Республики Беларусь от 19 января </w:t>
      </w:r>
      <w:smartTag w:uri="urn:schemas-microsoft-com:office:smarttags" w:element="metricconverter">
        <w:smartTagPr>
          <w:attr w:name="ProductID" w:val="2021 г"/>
        </w:smartTagPr>
        <w:r w:rsidRPr="00036BA7">
          <w:rPr>
            <w:sz w:val="30"/>
            <w:szCs w:val="30"/>
          </w:rPr>
          <w:t>2021 г</w:t>
        </w:r>
      </w:smartTag>
      <w:r w:rsidRPr="00036BA7">
        <w:rPr>
          <w:sz w:val="30"/>
          <w:szCs w:val="30"/>
        </w:rPr>
        <w:t>. № 28. Решением Каменецкого районного исполнительного комитета № 2464 от 17 декабря 2024г утвержден государственный профила</w:t>
      </w:r>
      <w:r w:rsidRPr="00036BA7">
        <w:rPr>
          <w:sz w:val="30"/>
          <w:szCs w:val="30"/>
        </w:rPr>
        <w:t>к</w:t>
      </w:r>
      <w:r w:rsidRPr="00036BA7">
        <w:rPr>
          <w:sz w:val="30"/>
          <w:szCs w:val="30"/>
        </w:rPr>
        <w:t>тический проект «Высокое – здоровый город» с реализацией на 2025–2029 г</w:t>
      </w:r>
      <w:r w:rsidRPr="00036BA7">
        <w:rPr>
          <w:sz w:val="30"/>
          <w:szCs w:val="30"/>
        </w:rPr>
        <w:t>о</w:t>
      </w:r>
      <w:r w:rsidRPr="00036BA7">
        <w:rPr>
          <w:sz w:val="30"/>
          <w:szCs w:val="30"/>
        </w:rPr>
        <w:t>ды.</w:t>
      </w:r>
    </w:p>
    <w:p w:rsidR="00D873EE" w:rsidRPr="00036BA7" w:rsidRDefault="00D873EE" w:rsidP="00D873EE">
      <w:pPr>
        <w:ind w:firstLine="708"/>
        <w:jc w:val="both"/>
        <w:rPr>
          <w:noProof/>
          <w:sz w:val="30"/>
          <w:szCs w:val="30"/>
        </w:rPr>
      </w:pPr>
      <w:r w:rsidRPr="00036BA7">
        <w:rPr>
          <w:sz w:val="30"/>
          <w:szCs w:val="30"/>
        </w:rPr>
        <w:t>Проводимые мероприятия содействуют формированию у населения п</w:t>
      </w:r>
      <w:r w:rsidRPr="00036BA7">
        <w:rPr>
          <w:sz w:val="30"/>
          <w:szCs w:val="30"/>
        </w:rPr>
        <w:t>о</w:t>
      </w:r>
      <w:r w:rsidRPr="00036BA7">
        <w:rPr>
          <w:sz w:val="30"/>
          <w:szCs w:val="30"/>
        </w:rPr>
        <w:t>требностей и мотиваций на профилактику заболеваний, ведение здорового о</w:t>
      </w:r>
      <w:r w:rsidRPr="00036BA7">
        <w:rPr>
          <w:sz w:val="30"/>
          <w:szCs w:val="30"/>
        </w:rPr>
        <w:t>б</w:t>
      </w:r>
      <w:r w:rsidRPr="00036BA7">
        <w:rPr>
          <w:sz w:val="30"/>
          <w:szCs w:val="30"/>
        </w:rPr>
        <w:t>раза жизни, приводящих к снижению заболеваемости, смертности от управл</w:t>
      </w:r>
      <w:r w:rsidRPr="00036BA7">
        <w:rPr>
          <w:sz w:val="30"/>
          <w:szCs w:val="30"/>
        </w:rPr>
        <w:t>я</w:t>
      </w:r>
      <w:r w:rsidRPr="00036BA7">
        <w:rPr>
          <w:sz w:val="30"/>
          <w:szCs w:val="30"/>
        </w:rPr>
        <w:t>емых причин и стабилизации ожидаемой продолжительности жизни. У нас</w:t>
      </w:r>
      <w:r w:rsidRPr="00036BA7">
        <w:rPr>
          <w:sz w:val="30"/>
          <w:szCs w:val="30"/>
        </w:rPr>
        <w:t>е</w:t>
      </w:r>
      <w:r w:rsidRPr="00036BA7">
        <w:rPr>
          <w:sz w:val="30"/>
          <w:szCs w:val="30"/>
        </w:rPr>
        <w:t xml:space="preserve">ления формируется образ современного успешного здорового человека, и стремление ему соответствовать. Поэтому реализация проектов «Беловежский – здоровый </w:t>
      </w:r>
      <w:proofErr w:type="spellStart"/>
      <w:r w:rsidRPr="00036BA7">
        <w:rPr>
          <w:sz w:val="30"/>
          <w:szCs w:val="30"/>
        </w:rPr>
        <w:t>агрогородок</w:t>
      </w:r>
      <w:proofErr w:type="spellEnd"/>
      <w:r w:rsidRPr="00036BA7">
        <w:rPr>
          <w:sz w:val="30"/>
          <w:szCs w:val="30"/>
        </w:rPr>
        <w:t>», «Каменец – здоровый город» и «Высокое – здор</w:t>
      </w:r>
      <w:r w:rsidRPr="00036BA7">
        <w:rPr>
          <w:sz w:val="30"/>
          <w:szCs w:val="30"/>
        </w:rPr>
        <w:t>о</w:t>
      </w:r>
      <w:r w:rsidRPr="00036BA7">
        <w:rPr>
          <w:sz w:val="30"/>
          <w:szCs w:val="30"/>
        </w:rPr>
        <w:t>вый город» направлена на системный подход к профилактике заболеваний, я</w:t>
      </w:r>
      <w:r w:rsidRPr="00036BA7">
        <w:rPr>
          <w:sz w:val="30"/>
          <w:szCs w:val="30"/>
        </w:rPr>
        <w:t>в</w:t>
      </w:r>
      <w:r w:rsidRPr="00036BA7">
        <w:rPr>
          <w:sz w:val="30"/>
          <w:szCs w:val="30"/>
        </w:rPr>
        <w:t>ляется возможностью решать задачи здравоохранения и содействовать дост</w:t>
      </w:r>
      <w:r w:rsidRPr="00036BA7">
        <w:rPr>
          <w:sz w:val="30"/>
          <w:szCs w:val="30"/>
        </w:rPr>
        <w:t>и</w:t>
      </w:r>
      <w:r w:rsidRPr="00036BA7">
        <w:rPr>
          <w:sz w:val="30"/>
          <w:szCs w:val="30"/>
        </w:rPr>
        <w:t>жению Целей устойчивого ра</w:t>
      </w:r>
      <w:r w:rsidRPr="00036BA7">
        <w:rPr>
          <w:sz w:val="30"/>
          <w:szCs w:val="30"/>
        </w:rPr>
        <w:t>з</w:t>
      </w:r>
      <w:r w:rsidRPr="00036BA7">
        <w:rPr>
          <w:sz w:val="30"/>
          <w:szCs w:val="30"/>
        </w:rPr>
        <w:t>вития.</w:t>
      </w:r>
      <w:r w:rsidRPr="00036BA7">
        <w:rPr>
          <w:noProof/>
          <w:sz w:val="30"/>
          <w:szCs w:val="30"/>
        </w:rPr>
        <w:t xml:space="preserve"> </w:t>
      </w:r>
    </w:p>
    <w:p w:rsidR="00382591" w:rsidRPr="004A4595" w:rsidRDefault="00D873EE" w:rsidP="00D873EE">
      <w:pPr>
        <w:ind w:firstLine="567"/>
        <w:jc w:val="both"/>
        <w:rPr>
          <w:sz w:val="30"/>
          <w:szCs w:val="30"/>
        </w:rPr>
      </w:pPr>
      <w:r w:rsidRPr="00036BA7">
        <w:rPr>
          <w:noProof/>
          <w:sz w:val="30"/>
          <w:szCs w:val="30"/>
        </w:rPr>
        <w:t>С целью широкой рекламы проектов «Беловежский – здоровый агрогородок», «Каменец – здоровый город» приобретена сувенирная продукция (значки –30 шт., ручки – 10 шт.), для рекламы проектов при проведении мероприятий, разработаны и растиражированы листовки, буклеты (за 2024 год – 4250 экз.), разработаны макеты роллапов и изготовлен роллап проекта «Каменец – здоровый город», разработаны 9 вида</w:t>
      </w:r>
      <w:bookmarkStart w:id="0" w:name="_GoBack"/>
      <w:bookmarkEnd w:id="0"/>
      <w:r w:rsidRPr="00036BA7">
        <w:rPr>
          <w:noProof/>
          <w:sz w:val="30"/>
          <w:szCs w:val="30"/>
        </w:rPr>
        <w:t xml:space="preserve"> бумажных наклеек с логотипами проектов «Беловежский – здоровый агрогородок», «Каменец – здоровый город», эмблема национальной сети «Здоровые города и поселки» и логотипы Пилотных площадок («Здоровое предприятие», «Здоровая организация», «Здоровая школа», «Здоровый детский детский сад») проекта «Беловежский – здоровый агрогородок» и проекта «Каменец – здоровый город» (5400 экз.), изданы типографским способом флажки в количестве 20 шт, закладки для книг – 60 шт., блокноты – 6 шт., календарь настольный «Ценности ЗОЖ» – 1 шт., календари настенный в формате А4 – 6 шт.,</w:t>
      </w:r>
      <w:r w:rsidRPr="00036BA7">
        <w:rPr>
          <w:sz w:val="30"/>
          <w:szCs w:val="30"/>
        </w:rPr>
        <w:t xml:space="preserve"> </w:t>
      </w:r>
      <w:r w:rsidRPr="00036BA7">
        <w:rPr>
          <w:noProof/>
          <w:sz w:val="30"/>
          <w:szCs w:val="30"/>
        </w:rPr>
        <w:t>для использования в проведении мероприятий проектов в качестве рекламного раздаточного материала; изданы 9 видов наклеек для размещения на входных группах учреждений образования, культуры, социально значимых объектах на территории аг. Беловежский, г.Каменец. С сентября месяца на жировках для оплаты каммунальных платежей обозначены в рекламном блоке проекты «Здоровые города и поселки» на территории Каменецкого района: «Беловежский – здоровый агрогородок» и «Каменец – здоровый город» (за данный период с сентября по декабрь растиражированно и распрастраннено уже 45900 экз., среди населения Каменецкого районна).</w:t>
      </w:r>
    </w:p>
    <w:sectPr w:rsidR="00382591" w:rsidRPr="004A4595" w:rsidSect="004F7C2C">
      <w:pgSz w:w="11906" w:h="16838"/>
      <w:pgMar w:top="567"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2C"/>
    <w:rsid w:val="00056A6C"/>
    <w:rsid w:val="00107BA7"/>
    <w:rsid w:val="00133A58"/>
    <w:rsid w:val="002C1BD8"/>
    <w:rsid w:val="002D1557"/>
    <w:rsid w:val="002F4387"/>
    <w:rsid w:val="00327B0A"/>
    <w:rsid w:val="003345CC"/>
    <w:rsid w:val="00347A69"/>
    <w:rsid w:val="00382591"/>
    <w:rsid w:val="003A060E"/>
    <w:rsid w:val="004507E5"/>
    <w:rsid w:val="004A4595"/>
    <w:rsid w:val="004F5990"/>
    <w:rsid w:val="004F7C2C"/>
    <w:rsid w:val="0061118F"/>
    <w:rsid w:val="00666EE5"/>
    <w:rsid w:val="00686CE6"/>
    <w:rsid w:val="00696053"/>
    <w:rsid w:val="006C1A37"/>
    <w:rsid w:val="006D6875"/>
    <w:rsid w:val="00727E12"/>
    <w:rsid w:val="007C60C4"/>
    <w:rsid w:val="007E4A86"/>
    <w:rsid w:val="008610F5"/>
    <w:rsid w:val="00890081"/>
    <w:rsid w:val="008A4490"/>
    <w:rsid w:val="008A5887"/>
    <w:rsid w:val="009300A4"/>
    <w:rsid w:val="009709B4"/>
    <w:rsid w:val="00990243"/>
    <w:rsid w:val="00A01E12"/>
    <w:rsid w:val="00A1458B"/>
    <w:rsid w:val="00AD13FA"/>
    <w:rsid w:val="00AD7F18"/>
    <w:rsid w:val="00B2629C"/>
    <w:rsid w:val="00B673F7"/>
    <w:rsid w:val="00BC3F37"/>
    <w:rsid w:val="00C02F81"/>
    <w:rsid w:val="00C16B4D"/>
    <w:rsid w:val="00C70AED"/>
    <w:rsid w:val="00C9414A"/>
    <w:rsid w:val="00D249B7"/>
    <w:rsid w:val="00D66A42"/>
    <w:rsid w:val="00D873EE"/>
    <w:rsid w:val="00D92B0D"/>
    <w:rsid w:val="00DB5DC0"/>
    <w:rsid w:val="00E14FA9"/>
    <w:rsid w:val="00E32FC7"/>
    <w:rsid w:val="00E774E4"/>
    <w:rsid w:val="00ED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711939A-8AE0-47EE-8567-03175DE4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2C"/>
    <w:pPr>
      <w:widowControl w:val="0"/>
      <w:autoSpaceDE w:val="0"/>
      <w:autoSpaceDN w:val="0"/>
      <w:adjustRightInd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F7C2C"/>
    <w:pPr>
      <w:widowControl/>
      <w:autoSpaceDE/>
      <w:autoSpaceDN/>
      <w:adjustRightInd/>
      <w:spacing w:after="120"/>
    </w:pPr>
    <w:rPr>
      <w:rFonts w:eastAsia="Times New Roman"/>
      <w:sz w:val="24"/>
      <w:szCs w:val="24"/>
    </w:rPr>
  </w:style>
  <w:style w:type="character" w:customStyle="1" w:styleId="a4">
    <w:name w:val="Основной текст Знак"/>
    <w:basedOn w:val="a0"/>
    <w:link w:val="a3"/>
    <w:uiPriority w:val="99"/>
    <w:semiHidden/>
    <w:locked/>
    <w:rsid w:val="004F7C2C"/>
    <w:rPr>
      <w:rFonts w:eastAsia="Times New Roman" w:cs="Times New Roman"/>
      <w:sz w:val="24"/>
      <w:szCs w:val="24"/>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6"/>
    <w:uiPriority w:val="99"/>
    <w:rsid w:val="00AD7F18"/>
    <w:pPr>
      <w:widowControl/>
      <w:autoSpaceDE/>
      <w:autoSpaceDN/>
      <w:adjustRightInd/>
      <w:spacing w:before="100" w:beforeAutospacing="1" w:after="100" w:afterAutospacing="1"/>
    </w:pPr>
    <w:rPr>
      <w:rFonts w:eastAsia="Times New Roman"/>
      <w:sz w:val="24"/>
      <w:szCs w:val="24"/>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AD7F18"/>
    <w:rPr>
      <w:rFonts w:eastAsia="Times New Roman"/>
      <w:sz w:val="24"/>
      <w:szCs w:val="24"/>
    </w:rPr>
  </w:style>
  <w:style w:type="paragraph" w:customStyle="1" w:styleId="a7">
    <w:name w:val="Стиль"/>
    <w:rsid w:val="00056A6C"/>
    <w:pPr>
      <w:widowControl w:val="0"/>
      <w:autoSpaceDE w:val="0"/>
      <w:autoSpaceDN w:val="0"/>
      <w:adjustRightInd w:val="0"/>
    </w:pPr>
    <w:rPr>
      <w:rFonts w:eastAsia="Times New Roman"/>
      <w:sz w:val="24"/>
      <w:szCs w:val="24"/>
    </w:rPr>
  </w:style>
  <w:style w:type="paragraph" w:styleId="a8">
    <w:name w:val="Balloon Text"/>
    <w:basedOn w:val="a"/>
    <w:link w:val="a9"/>
    <w:uiPriority w:val="99"/>
    <w:semiHidden/>
    <w:unhideWhenUsed/>
    <w:rsid w:val="008610F5"/>
    <w:rPr>
      <w:rFonts w:ascii="Segoe UI" w:hAnsi="Segoe UI" w:cs="Segoe UI"/>
      <w:sz w:val="18"/>
      <w:szCs w:val="18"/>
    </w:rPr>
  </w:style>
  <w:style w:type="character" w:customStyle="1" w:styleId="a9">
    <w:name w:val="Текст выноски Знак"/>
    <w:basedOn w:val="a0"/>
    <w:link w:val="a8"/>
    <w:uiPriority w:val="99"/>
    <w:semiHidden/>
    <w:rsid w:val="00861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2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ZOJ</dc:creator>
  <cp:keywords/>
  <dc:description/>
  <cp:lastModifiedBy>Пользователь</cp:lastModifiedBy>
  <cp:revision>9</cp:revision>
  <cp:lastPrinted>2025-01-30T09:36:00Z</cp:lastPrinted>
  <dcterms:created xsi:type="dcterms:W3CDTF">2025-01-17T09:35:00Z</dcterms:created>
  <dcterms:modified xsi:type="dcterms:W3CDTF">2025-01-30T09:36:00Z</dcterms:modified>
</cp:coreProperties>
</file>